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021DC" w14:textId="4D98F9CF" w:rsidR="0082461E" w:rsidRPr="00DA505A" w:rsidRDefault="0082461E" w:rsidP="002477E2">
      <w:pPr>
        <w:tabs>
          <w:tab w:val="right" w:pos="9000"/>
        </w:tabs>
        <w:rPr>
          <w:sz w:val="48"/>
        </w:rPr>
      </w:pPr>
      <w:bookmarkStart w:id="0" w:name="_GoBack"/>
      <w:bookmarkEnd w:id="0"/>
    </w:p>
    <w:p w14:paraId="568C61DD" w14:textId="1CFD6451" w:rsidR="007533A3" w:rsidRPr="00E7339A" w:rsidRDefault="007533A3" w:rsidP="00666956">
      <w:pPr>
        <w:tabs>
          <w:tab w:val="left" w:pos="7230"/>
          <w:tab w:val="right" w:pos="9639"/>
        </w:tabs>
        <w:jc w:val="left"/>
        <w:rPr>
          <w:sz w:val="48"/>
        </w:rPr>
      </w:pPr>
      <w:r w:rsidRPr="00E7339A">
        <w:rPr>
          <w:sz w:val="48"/>
        </w:rPr>
        <w:t>Charities SORP Committe</w:t>
      </w:r>
      <w:r w:rsidR="0046684A" w:rsidRPr="00E7339A">
        <w:rPr>
          <w:sz w:val="48"/>
        </w:rPr>
        <w:t>e</w:t>
      </w:r>
      <w:r w:rsidR="00EF3433" w:rsidRPr="00E7339A">
        <w:rPr>
          <w:sz w:val="48"/>
        </w:rPr>
        <w:t xml:space="preserve"> </w:t>
      </w:r>
      <w:r w:rsidR="0073491E" w:rsidRPr="00E7339A">
        <w:rPr>
          <w:sz w:val="48"/>
        </w:rPr>
        <w:t>Minutes</w:t>
      </w:r>
    </w:p>
    <w:p w14:paraId="62933C64" w14:textId="77777777" w:rsidR="002B3F05" w:rsidRPr="00E7339A" w:rsidRDefault="002B3F05" w:rsidP="00917C7C">
      <w:pPr>
        <w:tabs>
          <w:tab w:val="left" w:pos="7230"/>
          <w:tab w:val="right" w:pos="9639"/>
        </w:tabs>
      </w:pPr>
      <w:r w:rsidRPr="00E7339A">
        <w:tab/>
      </w:r>
      <w:r w:rsidR="005740FD" w:rsidRPr="00E7339A">
        <w:t xml:space="preserve"> </w:t>
      </w:r>
    </w:p>
    <w:tbl>
      <w:tblPr>
        <w:tblStyle w:val="TableGrid1"/>
        <w:tblW w:w="95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2401"/>
        <w:gridCol w:w="4910"/>
      </w:tblGrid>
      <w:tr w:rsidR="0011540B" w:rsidRPr="00E7339A" w14:paraId="076629EF" w14:textId="77777777" w:rsidTr="00917165">
        <w:tc>
          <w:tcPr>
            <w:tcW w:w="2262" w:type="dxa"/>
          </w:tcPr>
          <w:p w14:paraId="5CCC7C12" w14:textId="4A6FD8D7" w:rsidR="0011540B" w:rsidRPr="00E7339A" w:rsidRDefault="0011540B" w:rsidP="009D6EDF">
            <w:pPr>
              <w:tabs>
                <w:tab w:val="left" w:pos="2268"/>
                <w:tab w:val="left" w:pos="5103"/>
              </w:tabs>
              <w:jc w:val="left"/>
              <w:rPr>
                <w:lang w:eastAsia="en-GB"/>
              </w:rPr>
            </w:pPr>
            <w:r w:rsidRPr="00E7339A">
              <w:t>Date</w:t>
            </w:r>
          </w:p>
        </w:tc>
        <w:tc>
          <w:tcPr>
            <w:tcW w:w="2401" w:type="dxa"/>
          </w:tcPr>
          <w:p w14:paraId="2BC0A20C" w14:textId="6451F96B" w:rsidR="0011540B" w:rsidRPr="00E7339A" w:rsidRDefault="00DF3016" w:rsidP="00EF46D5">
            <w:pPr>
              <w:tabs>
                <w:tab w:val="left" w:pos="2268"/>
                <w:tab w:val="left" w:pos="5103"/>
              </w:tabs>
              <w:jc w:val="left"/>
              <w:rPr>
                <w:lang w:eastAsia="en-GB"/>
              </w:rPr>
            </w:pPr>
            <w:r>
              <w:rPr>
                <w:lang w:eastAsia="en-GB"/>
              </w:rPr>
              <w:t>21 May</w:t>
            </w:r>
            <w:r w:rsidR="008B6003">
              <w:rPr>
                <w:lang w:eastAsia="en-GB"/>
              </w:rPr>
              <w:t xml:space="preserve"> 2020</w:t>
            </w:r>
          </w:p>
        </w:tc>
        <w:tc>
          <w:tcPr>
            <w:tcW w:w="4910" w:type="dxa"/>
          </w:tcPr>
          <w:p w14:paraId="1815623B" w14:textId="77777777" w:rsidR="0011540B" w:rsidRPr="00E7339A" w:rsidRDefault="0011540B" w:rsidP="009D6EDF">
            <w:pPr>
              <w:tabs>
                <w:tab w:val="left" w:pos="2268"/>
                <w:tab w:val="left" w:pos="5103"/>
              </w:tabs>
              <w:jc w:val="left"/>
              <w:rPr>
                <w:i/>
                <w:lang w:eastAsia="en-GB"/>
              </w:rPr>
            </w:pPr>
          </w:p>
        </w:tc>
      </w:tr>
      <w:tr w:rsidR="0011540B" w:rsidRPr="00E7339A" w14:paraId="694A8DA4" w14:textId="77777777" w:rsidTr="00917165">
        <w:tc>
          <w:tcPr>
            <w:tcW w:w="2262" w:type="dxa"/>
          </w:tcPr>
          <w:p w14:paraId="756367A6" w14:textId="77777777" w:rsidR="0011540B" w:rsidRPr="00976CCD" w:rsidRDefault="0011540B" w:rsidP="009D6EDF">
            <w:pPr>
              <w:tabs>
                <w:tab w:val="left" w:pos="2268"/>
                <w:tab w:val="left" w:pos="5103"/>
              </w:tabs>
              <w:jc w:val="left"/>
              <w:rPr>
                <w:lang w:eastAsia="en-GB"/>
              </w:rPr>
            </w:pPr>
          </w:p>
        </w:tc>
        <w:tc>
          <w:tcPr>
            <w:tcW w:w="2401" w:type="dxa"/>
          </w:tcPr>
          <w:p w14:paraId="018C437E" w14:textId="77777777" w:rsidR="0011540B" w:rsidRPr="00976CCD" w:rsidRDefault="0011540B" w:rsidP="009D6EDF">
            <w:pPr>
              <w:tabs>
                <w:tab w:val="left" w:pos="2268"/>
                <w:tab w:val="left" w:pos="5103"/>
              </w:tabs>
              <w:jc w:val="left"/>
              <w:rPr>
                <w:lang w:eastAsia="en-GB"/>
              </w:rPr>
            </w:pPr>
          </w:p>
        </w:tc>
        <w:tc>
          <w:tcPr>
            <w:tcW w:w="4910" w:type="dxa"/>
          </w:tcPr>
          <w:p w14:paraId="7D05F9BC" w14:textId="77777777" w:rsidR="0011540B" w:rsidRPr="00976CCD" w:rsidRDefault="0011540B" w:rsidP="009D6EDF">
            <w:pPr>
              <w:tabs>
                <w:tab w:val="left" w:pos="2268"/>
                <w:tab w:val="left" w:pos="5103"/>
              </w:tabs>
              <w:jc w:val="left"/>
              <w:rPr>
                <w:i/>
                <w:lang w:eastAsia="en-GB"/>
              </w:rPr>
            </w:pPr>
          </w:p>
        </w:tc>
      </w:tr>
      <w:tr w:rsidR="0011540B" w:rsidRPr="00E7339A" w14:paraId="3C63226D" w14:textId="77777777" w:rsidTr="00917165">
        <w:tc>
          <w:tcPr>
            <w:tcW w:w="2262" w:type="dxa"/>
          </w:tcPr>
          <w:p w14:paraId="1F6F28AB" w14:textId="40CF88CD" w:rsidR="0011540B" w:rsidRPr="00976CCD" w:rsidRDefault="0011540B" w:rsidP="009D6EDF">
            <w:pPr>
              <w:tabs>
                <w:tab w:val="left" w:pos="2268"/>
                <w:tab w:val="left" w:pos="5103"/>
              </w:tabs>
              <w:jc w:val="left"/>
              <w:rPr>
                <w:lang w:eastAsia="en-GB"/>
              </w:rPr>
            </w:pPr>
            <w:r w:rsidRPr="00976CCD">
              <w:t>Venue</w:t>
            </w:r>
          </w:p>
        </w:tc>
        <w:tc>
          <w:tcPr>
            <w:tcW w:w="7311" w:type="dxa"/>
            <w:gridSpan w:val="2"/>
          </w:tcPr>
          <w:p w14:paraId="43F8D729" w14:textId="70B34F74" w:rsidR="0011540B" w:rsidRPr="00976CCD" w:rsidRDefault="00B52664" w:rsidP="002528BA">
            <w:pPr>
              <w:tabs>
                <w:tab w:val="left" w:pos="2268"/>
                <w:tab w:val="left" w:pos="5103"/>
              </w:tabs>
              <w:jc w:val="left"/>
              <w:rPr>
                <w:i/>
                <w:lang w:eastAsia="en-GB"/>
              </w:rPr>
            </w:pPr>
            <w:r>
              <w:rPr>
                <w:lang w:eastAsia="en-GB"/>
              </w:rPr>
              <w:t>Online TEAMS meeting</w:t>
            </w:r>
          </w:p>
        </w:tc>
      </w:tr>
      <w:tr w:rsidR="0011540B" w:rsidRPr="00E7339A" w14:paraId="2CABB675" w14:textId="77777777" w:rsidTr="00917165">
        <w:tc>
          <w:tcPr>
            <w:tcW w:w="2262" w:type="dxa"/>
          </w:tcPr>
          <w:p w14:paraId="6C28CAFB" w14:textId="77777777" w:rsidR="0011540B" w:rsidRPr="00976CCD" w:rsidRDefault="0011540B" w:rsidP="009D6EDF">
            <w:pPr>
              <w:tabs>
                <w:tab w:val="left" w:pos="2268"/>
                <w:tab w:val="left" w:pos="5103"/>
              </w:tabs>
              <w:jc w:val="left"/>
              <w:rPr>
                <w:lang w:eastAsia="en-GB"/>
              </w:rPr>
            </w:pPr>
          </w:p>
        </w:tc>
        <w:tc>
          <w:tcPr>
            <w:tcW w:w="2401" w:type="dxa"/>
          </w:tcPr>
          <w:p w14:paraId="73FFE96E" w14:textId="77777777" w:rsidR="0011540B" w:rsidRPr="00976CCD" w:rsidRDefault="0011540B" w:rsidP="009D6EDF">
            <w:pPr>
              <w:tabs>
                <w:tab w:val="left" w:pos="2268"/>
                <w:tab w:val="left" w:pos="5103"/>
              </w:tabs>
              <w:jc w:val="left"/>
              <w:rPr>
                <w:lang w:eastAsia="en-GB"/>
              </w:rPr>
            </w:pPr>
          </w:p>
        </w:tc>
        <w:tc>
          <w:tcPr>
            <w:tcW w:w="4910" w:type="dxa"/>
          </w:tcPr>
          <w:p w14:paraId="3BAB10AE" w14:textId="77777777" w:rsidR="0011540B" w:rsidRPr="00976CCD" w:rsidRDefault="0011540B" w:rsidP="009D6EDF">
            <w:pPr>
              <w:tabs>
                <w:tab w:val="left" w:pos="2268"/>
                <w:tab w:val="left" w:pos="5103"/>
              </w:tabs>
              <w:jc w:val="left"/>
              <w:rPr>
                <w:i/>
                <w:lang w:eastAsia="en-GB"/>
              </w:rPr>
            </w:pPr>
          </w:p>
        </w:tc>
      </w:tr>
      <w:tr w:rsidR="00DA505A" w:rsidRPr="00E7339A" w14:paraId="346C8BD4" w14:textId="77777777" w:rsidTr="00917165">
        <w:tc>
          <w:tcPr>
            <w:tcW w:w="2262" w:type="dxa"/>
          </w:tcPr>
          <w:p w14:paraId="1B58A825" w14:textId="77777777" w:rsidR="00DA505A" w:rsidRPr="00976CCD" w:rsidRDefault="00DA505A" w:rsidP="009D6EDF">
            <w:pPr>
              <w:tabs>
                <w:tab w:val="left" w:pos="2268"/>
                <w:tab w:val="left" w:pos="5103"/>
              </w:tabs>
              <w:jc w:val="left"/>
              <w:rPr>
                <w:lang w:eastAsia="en-GB"/>
              </w:rPr>
            </w:pPr>
            <w:r w:rsidRPr="00976CCD">
              <w:rPr>
                <w:lang w:eastAsia="en-GB"/>
              </w:rPr>
              <w:t>Joint Chair</w:t>
            </w:r>
          </w:p>
        </w:tc>
        <w:tc>
          <w:tcPr>
            <w:tcW w:w="2401" w:type="dxa"/>
          </w:tcPr>
          <w:p w14:paraId="33374B6A" w14:textId="77777777" w:rsidR="00DA505A" w:rsidRPr="00976CCD" w:rsidRDefault="00DA505A" w:rsidP="009D6EDF">
            <w:pPr>
              <w:tabs>
                <w:tab w:val="left" w:pos="2268"/>
                <w:tab w:val="left" w:pos="5103"/>
              </w:tabs>
              <w:jc w:val="left"/>
              <w:rPr>
                <w:lang w:eastAsia="en-GB"/>
              </w:rPr>
            </w:pPr>
            <w:r w:rsidRPr="00976CCD">
              <w:rPr>
                <w:lang w:eastAsia="en-GB"/>
              </w:rPr>
              <w:t>Laura Anderson</w:t>
            </w:r>
          </w:p>
        </w:tc>
        <w:tc>
          <w:tcPr>
            <w:tcW w:w="4910" w:type="dxa"/>
          </w:tcPr>
          <w:p w14:paraId="6B54EF48" w14:textId="6C1F173A" w:rsidR="00DA505A" w:rsidRPr="00976CCD" w:rsidRDefault="00DA505A" w:rsidP="009D6EDF">
            <w:pPr>
              <w:tabs>
                <w:tab w:val="left" w:pos="2268"/>
                <w:tab w:val="left" w:pos="5103"/>
              </w:tabs>
              <w:jc w:val="left"/>
              <w:rPr>
                <w:i/>
                <w:lang w:eastAsia="en-GB"/>
              </w:rPr>
            </w:pPr>
            <w:r w:rsidRPr="00976CCD">
              <w:rPr>
                <w:i/>
                <w:lang w:eastAsia="en-GB"/>
              </w:rPr>
              <w:t>O</w:t>
            </w:r>
            <w:r w:rsidR="00E83BE8">
              <w:rPr>
                <w:i/>
                <w:lang w:eastAsia="en-GB"/>
              </w:rPr>
              <w:t xml:space="preserve">ffice of the </w:t>
            </w:r>
            <w:r w:rsidRPr="00976CCD">
              <w:rPr>
                <w:i/>
                <w:lang w:eastAsia="en-GB"/>
              </w:rPr>
              <w:t>S</w:t>
            </w:r>
            <w:r w:rsidR="00E83BE8">
              <w:rPr>
                <w:i/>
                <w:lang w:eastAsia="en-GB"/>
              </w:rPr>
              <w:t xml:space="preserve">cottish </w:t>
            </w:r>
            <w:r w:rsidRPr="00976CCD">
              <w:rPr>
                <w:i/>
                <w:lang w:eastAsia="en-GB"/>
              </w:rPr>
              <w:t>C</w:t>
            </w:r>
            <w:r w:rsidR="00E83BE8">
              <w:rPr>
                <w:i/>
                <w:lang w:eastAsia="en-GB"/>
              </w:rPr>
              <w:t xml:space="preserve">harity </w:t>
            </w:r>
            <w:r w:rsidRPr="00976CCD">
              <w:rPr>
                <w:i/>
                <w:lang w:eastAsia="en-GB"/>
              </w:rPr>
              <w:t>R</w:t>
            </w:r>
            <w:r w:rsidR="00E83BE8">
              <w:rPr>
                <w:i/>
                <w:lang w:eastAsia="en-GB"/>
              </w:rPr>
              <w:t>egulator</w:t>
            </w:r>
            <w:r w:rsidR="00693965">
              <w:rPr>
                <w:i/>
                <w:lang w:eastAsia="en-GB"/>
              </w:rPr>
              <w:t xml:space="preserve"> (OSCR)</w:t>
            </w:r>
          </w:p>
        </w:tc>
      </w:tr>
      <w:tr w:rsidR="00976CCD" w:rsidRPr="00A65AB2" w14:paraId="0CF538E6" w14:textId="77777777" w:rsidTr="00917165">
        <w:tc>
          <w:tcPr>
            <w:tcW w:w="2262" w:type="dxa"/>
          </w:tcPr>
          <w:p w14:paraId="2B3128D7" w14:textId="77777777" w:rsidR="00976CCD" w:rsidRPr="00976CCD" w:rsidRDefault="00976CCD" w:rsidP="00007CD9">
            <w:pPr>
              <w:tabs>
                <w:tab w:val="left" w:pos="2268"/>
                <w:tab w:val="left" w:pos="5103"/>
              </w:tabs>
              <w:jc w:val="left"/>
              <w:rPr>
                <w:lang w:eastAsia="en-GB"/>
              </w:rPr>
            </w:pPr>
          </w:p>
        </w:tc>
        <w:tc>
          <w:tcPr>
            <w:tcW w:w="2401" w:type="dxa"/>
          </w:tcPr>
          <w:p w14:paraId="17F879BA" w14:textId="36949623" w:rsidR="00976CCD" w:rsidRPr="00976CCD" w:rsidRDefault="00976CCD" w:rsidP="00007CD9">
            <w:pPr>
              <w:tabs>
                <w:tab w:val="left" w:pos="2268"/>
                <w:tab w:val="left" w:pos="5103"/>
              </w:tabs>
              <w:jc w:val="left"/>
              <w:rPr>
                <w:lang w:eastAsia="en-GB"/>
              </w:rPr>
            </w:pPr>
            <w:r w:rsidRPr="00976CCD">
              <w:rPr>
                <w:lang w:eastAsia="en-GB"/>
              </w:rPr>
              <w:t>Nigel Davies</w:t>
            </w:r>
          </w:p>
        </w:tc>
        <w:tc>
          <w:tcPr>
            <w:tcW w:w="4910" w:type="dxa"/>
          </w:tcPr>
          <w:p w14:paraId="26664D85" w14:textId="77777777" w:rsidR="00976CCD" w:rsidRDefault="00976CCD" w:rsidP="00007CD9">
            <w:pPr>
              <w:tabs>
                <w:tab w:val="left" w:pos="2268"/>
                <w:tab w:val="left" w:pos="5103"/>
              </w:tabs>
              <w:jc w:val="left"/>
              <w:rPr>
                <w:i/>
                <w:lang w:eastAsia="en-GB"/>
              </w:rPr>
            </w:pPr>
            <w:r w:rsidRPr="00976CCD">
              <w:rPr>
                <w:i/>
                <w:lang w:eastAsia="en-GB"/>
              </w:rPr>
              <w:t>Charity Commission for England and Wales</w:t>
            </w:r>
          </w:p>
          <w:p w14:paraId="3262A232" w14:textId="3DB8AC7A" w:rsidR="00DE04FC" w:rsidRPr="00976CCD" w:rsidRDefault="00DE04FC" w:rsidP="00007CD9">
            <w:pPr>
              <w:tabs>
                <w:tab w:val="left" w:pos="2268"/>
                <w:tab w:val="left" w:pos="5103"/>
              </w:tabs>
              <w:jc w:val="left"/>
              <w:rPr>
                <w:i/>
                <w:lang w:eastAsia="en-GB"/>
              </w:rPr>
            </w:pPr>
            <w:r>
              <w:rPr>
                <w:i/>
                <w:lang w:eastAsia="en-GB"/>
              </w:rPr>
              <w:t>(CCEW)</w:t>
            </w:r>
          </w:p>
        </w:tc>
      </w:tr>
      <w:tr w:rsidR="00007CD9" w:rsidRPr="00A65AB2" w14:paraId="3F2BF454" w14:textId="77777777" w:rsidTr="00917165">
        <w:tc>
          <w:tcPr>
            <w:tcW w:w="2262" w:type="dxa"/>
          </w:tcPr>
          <w:p w14:paraId="30FABC95" w14:textId="77777777" w:rsidR="00007CD9" w:rsidRPr="00976CCD" w:rsidRDefault="00007CD9" w:rsidP="00007CD9">
            <w:pPr>
              <w:tabs>
                <w:tab w:val="left" w:pos="2268"/>
                <w:tab w:val="left" w:pos="5103"/>
              </w:tabs>
              <w:jc w:val="left"/>
              <w:rPr>
                <w:lang w:eastAsia="en-GB"/>
              </w:rPr>
            </w:pPr>
          </w:p>
        </w:tc>
        <w:tc>
          <w:tcPr>
            <w:tcW w:w="2401" w:type="dxa"/>
          </w:tcPr>
          <w:p w14:paraId="1E215C00" w14:textId="7134A07D" w:rsidR="002D7C55" w:rsidRPr="00976CCD" w:rsidRDefault="00B52664" w:rsidP="005C2447">
            <w:pPr>
              <w:tabs>
                <w:tab w:val="left" w:pos="2268"/>
                <w:tab w:val="left" w:pos="5103"/>
              </w:tabs>
              <w:jc w:val="left"/>
              <w:rPr>
                <w:lang w:eastAsia="en-GB"/>
              </w:rPr>
            </w:pPr>
            <w:r>
              <w:rPr>
                <w:lang w:eastAsia="en-GB"/>
              </w:rPr>
              <w:t>Sarah Finnegan</w:t>
            </w:r>
          </w:p>
        </w:tc>
        <w:tc>
          <w:tcPr>
            <w:tcW w:w="4910" w:type="dxa"/>
          </w:tcPr>
          <w:p w14:paraId="00766EC1" w14:textId="77777777" w:rsidR="008B6003" w:rsidRDefault="00B52664">
            <w:pPr>
              <w:tabs>
                <w:tab w:val="left" w:pos="2268"/>
                <w:tab w:val="left" w:pos="5103"/>
              </w:tabs>
              <w:jc w:val="left"/>
              <w:rPr>
                <w:i/>
                <w:lang w:eastAsia="en-GB"/>
              </w:rPr>
            </w:pPr>
            <w:r>
              <w:rPr>
                <w:i/>
                <w:lang w:eastAsia="en-GB"/>
              </w:rPr>
              <w:t>Charity Commission for Northern Ireland</w:t>
            </w:r>
          </w:p>
          <w:p w14:paraId="00D32480" w14:textId="036DC649" w:rsidR="00602D7B" w:rsidRPr="00976CCD" w:rsidRDefault="00602D7B">
            <w:pPr>
              <w:tabs>
                <w:tab w:val="left" w:pos="2268"/>
                <w:tab w:val="left" w:pos="5103"/>
              </w:tabs>
              <w:jc w:val="left"/>
              <w:rPr>
                <w:lang w:eastAsia="en-GB"/>
              </w:rPr>
            </w:pPr>
            <w:r>
              <w:rPr>
                <w:i/>
                <w:lang w:eastAsia="en-GB"/>
              </w:rPr>
              <w:t>(CCNI)</w:t>
            </w:r>
          </w:p>
        </w:tc>
      </w:tr>
      <w:tr w:rsidR="00DA505A" w:rsidRPr="00A65AB2" w14:paraId="6A40FB83" w14:textId="77777777" w:rsidTr="00917165">
        <w:tc>
          <w:tcPr>
            <w:tcW w:w="2262" w:type="dxa"/>
          </w:tcPr>
          <w:p w14:paraId="5328E270" w14:textId="77777777" w:rsidR="00DA505A" w:rsidRPr="00A65AB2" w:rsidRDefault="00DA505A" w:rsidP="009D6EDF">
            <w:pPr>
              <w:tabs>
                <w:tab w:val="left" w:pos="2268"/>
                <w:tab w:val="left" w:pos="5103"/>
              </w:tabs>
              <w:jc w:val="left"/>
              <w:rPr>
                <w:lang w:eastAsia="en-GB"/>
              </w:rPr>
            </w:pPr>
          </w:p>
        </w:tc>
        <w:tc>
          <w:tcPr>
            <w:tcW w:w="2401" w:type="dxa"/>
          </w:tcPr>
          <w:p w14:paraId="6283C4FE" w14:textId="77777777" w:rsidR="00DA505A" w:rsidRPr="00A65AB2" w:rsidRDefault="00DA505A" w:rsidP="009D6EDF">
            <w:pPr>
              <w:tabs>
                <w:tab w:val="left" w:pos="2268"/>
                <w:tab w:val="left" w:pos="5103"/>
              </w:tabs>
              <w:jc w:val="left"/>
              <w:rPr>
                <w:lang w:eastAsia="en-GB"/>
              </w:rPr>
            </w:pPr>
          </w:p>
        </w:tc>
        <w:tc>
          <w:tcPr>
            <w:tcW w:w="4910" w:type="dxa"/>
          </w:tcPr>
          <w:p w14:paraId="74292A19" w14:textId="78F83FD1" w:rsidR="00DA505A" w:rsidRPr="00A65AB2" w:rsidRDefault="00DA505A" w:rsidP="009D6EDF">
            <w:pPr>
              <w:tabs>
                <w:tab w:val="left" w:pos="2268"/>
                <w:tab w:val="left" w:pos="5103"/>
              </w:tabs>
              <w:jc w:val="left"/>
              <w:rPr>
                <w:lang w:eastAsia="en-GB"/>
              </w:rPr>
            </w:pPr>
          </w:p>
        </w:tc>
      </w:tr>
      <w:tr w:rsidR="00D61BD5" w:rsidRPr="00A65AB2" w14:paraId="2B176B47" w14:textId="77777777" w:rsidTr="00917165">
        <w:trPr>
          <w:trHeight w:val="95"/>
        </w:trPr>
        <w:tc>
          <w:tcPr>
            <w:tcW w:w="2262" w:type="dxa"/>
          </w:tcPr>
          <w:p w14:paraId="7F834CCE" w14:textId="7BF12B0F" w:rsidR="00D61BD5" w:rsidRPr="00A65AB2" w:rsidRDefault="00D61BD5" w:rsidP="00D61BD5">
            <w:pPr>
              <w:tabs>
                <w:tab w:val="left" w:pos="2268"/>
                <w:tab w:val="left" w:pos="5103"/>
              </w:tabs>
              <w:jc w:val="left"/>
              <w:rPr>
                <w:lang w:eastAsia="en-GB"/>
              </w:rPr>
            </w:pPr>
            <w:r w:rsidRPr="00A65AB2">
              <w:rPr>
                <w:lang w:eastAsia="en-GB"/>
              </w:rPr>
              <w:t>Members present</w:t>
            </w:r>
          </w:p>
        </w:tc>
        <w:tc>
          <w:tcPr>
            <w:tcW w:w="2401" w:type="dxa"/>
          </w:tcPr>
          <w:p w14:paraId="6B267DF5" w14:textId="5BDDDCCF" w:rsidR="00D61BD5" w:rsidRPr="002528BA" w:rsidRDefault="002D7C55" w:rsidP="00D61BD5">
            <w:pPr>
              <w:tabs>
                <w:tab w:val="left" w:pos="2268"/>
                <w:tab w:val="left" w:pos="5103"/>
              </w:tabs>
              <w:jc w:val="left"/>
              <w:rPr>
                <w:lang w:eastAsia="en-GB"/>
              </w:rPr>
            </w:pPr>
            <w:r w:rsidRPr="002528BA">
              <w:rPr>
                <w:lang w:eastAsia="en-GB"/>
              </w:rPr>
              <w:t>Caron Bradshaw</w:t>
            </w:r>
          </w:p>
        </w:tc>
        <w:tc>
          <w:tcPr>
            <w:tcW w:w="4910" w:type="dxa"/>
          </w:tcPr>
          <w:p w14:paraId="3EBB1B69" w14:textId="577DC83E" w:rsidR="00D61BD5" w:rsidRPr="006146E4" w:rsidRDefault="002D7C55" w:rsidP="00D61BD5">
            <w:pPr>
              <w:tabs>
                <w:tab w:val="left" w:pos="2268"/>
                <w:tab w:val="left" w:pos="5103"/>
              </w:tabs>
              <w:jc w:val="left"/>
              <w:rPr>
                <w:i/>
                <w:lang w:eastAsia="en-GB"/>
              </w:rPr>
            </w:pPr>
            <w:r w:rsidRPr="006146E4">
              <w:rPr>
                <w:i/>
                <w:lang w:eastAsia="en-GB"/>
              </w:rPr>
              <w:t>Charity Finance Group</w:t>
            </w:r>
          </w:p>
        </w:tc>
      </w:tr>
      <w:tr w:rsidR="00D61BD5" w:rsidRPr="00A65AB2" w14:paraId="34C2935D" w14:textId="77777777" w:rsidTr="00917165">
        <w:trPr>
          <w:trHeight w:val="95"/>
        </w:trPr>
        <w:tc>
          <w:tcPr>
            <w:tcW w:w="2262" w:type="dxa"/>
          </w:tcPr>
          <w:p w14:paraId="59FDC94C" w14:textId="17F70E6D" w:rsidR="00D61BD5" w:rsidRPr="00A65AB2" w:rsidRDefault="00D61BD5" w:rsidP="00D61BD5">
            <w:pPr>
              <w:tabs>
                <w:tab w:val="left" w:pos="2268"/>
                <w:tab w:val="left" w:pos="5103"/>
              </w:tabs>
              <w:jc w:val="left"/>
              <w:rPr>
                <w:lang w:eastAsia="en-GB"/>
              </w:rPr>
            </w:pPr>
          </w:p>
        </w:tc>
        <w:tc>
          <w:tcPr>
            <w:tcW w:w="2401" w:type="dxa"/>
          </w:tcPr>
          <w:p w14:paraId="78205A59" w14:textId="18ECB671" w:rsidR="00D61BD5" w:rsidRPr="00A65AB2" w:rsidRDefault="002D7C55" w:rsidP="00D61BD5">
            <w:pPr>
              <w:tabs>
                <w:tab w:val="left" w:pos="2268"/>
                <w:tab w:val="left" w:pos="5103"/>
              </w:tabs>
              <w:jc w:val="left"/>
              <w:rPr>
                <w:lang w:eastAsia="en-GB"/>
              </w:rPr>
            </w:pPr>
            <w:r>
              <w:rPr>
                <w:lang w:eastAsia="en-GB"/>
              </w:rPr>
              <w:t>Michael Brougham</w:t>
            </w:r>
          </w:p>
        </w:tc>
        <w:tc>
          <w:tcPr>
            <w:tcW w:w="4910" w:type="dxa"/>
          </w:tcPr>
          <w:p w14:paraId="0C36FE33" w14:textId="515B267C" w:rsidR="00D61BD5" w:rsidRPr="00A65AB2" w:rsidRDefault="002D7C55" w:rsidP="00D61BD5">
            <w:pPr>
              <w:tabs>
                <w:tab w:val="left" w:pos="2268"/>
                <w:tab w:val="left" w:pos="5103"/>
              </w:tabs>
              <w:jc w:val="left"/>
              <w:rPr>
                <w:i/>
                <w:lang w:eastAsia="en-GB"/>
              </w:rPr>
            </w:pPr>
            <w:r>
              <w:rPr>
                <w:i/>
                <w:lang w:eastAsia="en-GB"/>
              </w:rPr>
              <w:t>Independent Examiner</w:t>
            </w:r>
          </w:p>
        </w:tc>
      </w:tr>
      <w:tr w:rsidR="0090088B" w:rsidRPr="00A65AB2" w14:paraId="3DF6D112" w14:textId="77777777" w:rsidTr="00917165">
        <w:tc>
          <w:tcPr>
            <w:tcW w:w="2262" w:type="dxa"/>
          </w:tcPr>
          <w:p w14:paraId="045C5A16" w14:textId="77777777" w:rsidR="0090088B" w:rsidRPr="00A65AB2" w:rsidRDefault="0090088B" w:rsidP="00D61BD5">
            <w:pPr>
              <w:jc w:val="left"/>
              <w:rPr>
                <w:i/>
                <w:lang w:eastAsia="en-GB"/>
              </w:rPr>
            </w:pPr>
          </w:p>
        </w:tc>
        <w:tc>
          <w:tcPr>
            <w:tcW w:w="2401" w:type="dxa"/>
            <w:shd w:val="clear" w:color="auto" w:fill="auto"/>
          </w:tcPr>
          <w:p w14:paraId="65F8A733" w14:textId="564380C3" w:rsidR="0090088B" w:rsidRDefault="0090088B" w:rsidP="0090088B">
            <w:pPr>
              <w:jc w:val="left"/>
              <w:rPr>
                <w:lang w:eastAsia="en-GB"/>
              </w:rPr>
            </w:pPr>
            <w:r>
              <w:rPr>
                <w:lang w:eastAsia="en-GB"/>
              </w:rPr>
              <w:t>Daniel Chan</w:t>
            </w:r>
          </w:p>
        </w:tc>
        <w:tc>
          <w:tcPr>
            <w:tcW w:w="4910" w:type="dxa"/>
            <w:shd w:val="clear" w:color="auto" w:fill="auto"/>
          </w:tcPr>
          <w:p w14:paraId="0F334BFD" w14:textId="6DF11F1D" w:rsidR="0090088B" w:rsidRDefault="0090088B" w:rsidP="00234F65">
            <w:pPr>
              <w:jc w:val="left"/>
              <w:rPr>
                <w:i/>
                <w:lang w:eastAsia="en-GB"/>
              </w:rPr>
            </w:pPr>
            <w:r>
              <w:rPr>
                <w:i/>
                <w:lang w:eastAsia="en-GB"/>
              </w:rPr>
              <w:t>PwC</w:t>
            </w:r>
          </w:p>
        </w:tc>
      </w:tr>
      <w:tr w:rsidR="00D61BD5" w:rsidRPr="00A65AB2" w14:paraId="2FD5C00F" w14:textId="77777777" w:rsidTr="00917165">
        <w:tc>
          <w:tcPr>
            <w:tcW w:w="2262" w:type="dxa"/>
          </w:tcPr>
          <w:p w14:paraId="777CFBA0" w14:textId="77777777" w:rsidR="00D61BD5" w:rsidRPr="00A65AB2" w:rsidRDefault="00D61BD5" w:rsidP="00D61BD5">
            <w:pPr>
              <w:jc w:val="left"/>
              <w:rPr>
                <w:i/>
                <w:lang w:eastAsia="en-GB"/>
              </w:rPr>
            </w:pPr>
          </w:p>
        </w:tc>
        <w:tc>
          <w:tcPr>
            <w:tcW w:w="2401" w:type="dxa"/>
            <w:shd w:val="clear" w:color="auto" w:fill="auto"/>
          </w:tcPr>
          <w:p w14:paraId="10CE2FD9" w14:textId="06901736" w:rsidR="00DF3016" w:rsidRPr="00CB6DAB" w:rsidRDefault="00DF3016" w:rsidP="00D61BD5">
            <w:pPr>
              <w:jc w:val="left"/>
              <w:rPr>
                <w:lang w:eastAsia="en-GB"/>
              </w:rPr>
            </w:pPr>
            <w:r>
              <w:rPr>
                <w:lang w:eastAsia="en-GB"/>
              </w:rPr>
              <w:t>Tony Clarke</w:t>
            </w:r>
          </w:p>
        </w:tc>
        <w:tc>
          <w:tcPr>
            <w:tcW w:w="4910" w:type="dxa"/>
            <w:shd w:val="clear" w:color="auto" w:fill="auto"/>
          </w:tcPr>
          <w:p w14:paraId="510E6216" w14:textId="60D72797" w:rsidR="00DF3016" w:rsidRPr="00CB6DAB" w:rsidRDefault="00DF3016" w:rsidP="00234F65">
            <w:pPr>
              <w:jc w:val="left"/>
              <w:rPr>
                <w:i/>
                <w:lang w:eastAsia="en-GB"/>
              </w:rPr>
            </w:pPr>
            <w:r>
              <w:rPr>
                <w:i/>
                <w:lang w:eastAsia="en-GB"/>
              </w:rPr>
              <w:t>Clarke &amp; Co Accountants</w:t>
            </w:r>
          </w:p>
        </w:tc>
      </w:tr>
      <w:tr w:rsidR="00D61BD5" w:rsidRPr="00A65AB2" w14:paraId="0B24E9B3" w14:textId="77777777" w:rsidTr="00917165">
        <w:tc>
          <w:tcPr>
            <w:tcW w:w="2262" w:type="dxa"/>
          </w:tcPr>
          <w:p w14:paraId="0E57B960" w14:textId="77777777" w:rsidR="00D61BD5" w:rsidRPr="00A65AB2" w:rsidRDefault="00D61BD5" w:rsidP="00D61BD5">
            <w:pPr>
              <w:jc w:val="left"/>
              <w:rPr>
                <w:i/>
                <w:lang w:eastAsia="en-GB"/>
              </w:rPr>
            </w:pPr>
          </w:p>
        </w:tc>
        <w:tc>
          <w:tcPr>
            <w:tcW w:w="2401" w:type="dxa"/>
          </w:tcPr>
          <w:p w14:paraId="566F4D4C" w14:textId="2A4D514B" w:rsidR="00D61BD5" w:rsidRPr="00CB6DAB" w:rsidRDefault="00597E92" w:rsidP="00D61BD5">
            <w:pPr>
              <w:jc w:val="left"/>
              <w:rPr>
                <w:lang w:eastAsia="en-GB"/>
              </w:rPr>
            </w:pPr>
            <w:r>
              <w:rPr>
                <w:lang w:eastAsia="en-GB"/>
              </w:rPr>
              <w:t>Tom Connaughton</w:t>
            </w:r>
          </w:p>
        </w:tc>
        <w:tc>
          <w:tcPr>
            <w:tcW w:w="4910" w:type="dxa"/>
          </w:tcPr>
          <w:p w14:paraId="06F54A02" w14:textId="61BE5424" w:rsidR="00D61BD5" w:rsidRPr="00CB6DAB" w:rsidRDefault="00597E92" w:rsidP="00D61BD5">
            <w:pPr>
              <w:jc w:val="left"/>
              <w:rPr>
                <w:i/>
                <w:lang w:eastAsia="en-GB"/>
              </w:rPr>
            </w:pPr>
            <w:r>
              <w:rPr>
                <w:i/>
                <w:lang w:eastAsia="en-GB"/>
              </w:rPr>
              <w:t>The Rehab Group</w:t>
            </w:r>
          </w:p>
        </w:tc>
      </w:tr>
      <w:tr w:rsidR="00D61BD5" w:rsidRPr="00A65AB2" w14:paraId="27E19F84" w14:textId="77777777" w:rsidTr="00917165">
        <w:tc>
          <w:tcPr>
            <w:tcW w:w="2262" w:type="dxa"/>
          </w:tcPr>
          <w:p w14:paraId="1D575E01" w14:textId="77777777" w:rsidR="00D61BD5" w:rsidRPr="00A65AB2" w:rsidRDefault="00D61BD5" w:rsidP="00D61BD5">
            <w:pPr>
              <w:jc w:val="left"/>
              <w:rPr>
                <w:i/>
                <w:lang w:eastAsia="en-GB"/>
              </w:rPr>
            </w:pPr>
          </w:p>
        </w:tc>
        <w:tc>
          <w:tcPr>
            <w:tcW w:w="2401" w:type="dxa"/>
          </w:tcPr>
          <w:p w14:paraId="3BBE06CF" w14:textId="4E0AAD93" w:rsidR="00D61BD5" w:rsidRPr="00597E92" w:rsidRDefault="00597E92" w:rsidP="004857D3">
            <w:pPr>
              <w:tabs>
                <w:tab w:val="left" w:pos="2268"/>
                <w:tab w:val="left" w:pos="5103"/>
              </w:tabs>
              <w:jc w:val="left"/>
              <w:rPr>
                <w:lang w:eastAsia="en-GB"/>
              </w:rPr>
            </w:pPr>
            <w:proofErr w:type="spellStart"/>
            <w:r w:rsidRPr="004857D3">
              <w:rPr>
                <w:lang w:eastAsia="en-GB"/>
              </w:rPr>
              <w:t>Diarmaid</w:t>
            </w:r>
            <w:proofErr w:type="spellEnd"/>
            <w:r w:rsidRPr="004857D3">
              <w:rPr>
                <w:lang w:eastAsia="en-GB"/>
              </w:rPr>
              <w:t xml:space="preserve"> Ó </w:t>
            </w:r>
            <w:proofErr w:type="spellStart"/>
            <w:r w:rsidRPr="004857D3">
              <w:rPr>
                <w:lang w:eastAsia="en-GB"/>
              </w:rPr>
              <w:t>Corrbuí</w:t>
            </w:r>
            <w:proofErr w:type="spellEnd"/>
          </w:p>
        </w:tc>
        <w:tc>
          <w:tcPr>
            <w:tcW w:w="4910" w:type="dxa"/>
          </w:tcPr>
          <w:p w14:paraId="041800C1" w14:textId="4AE21C6B" w:rsidR="00D61BD5" w:rsidRPr="00CB6DAB" w:rsidRDefault="00597E92" w:rsidP="00D61BD5">
            <w:pPr>
              <w:jc w:val="left"/>
              <w:rPr>
                <w:i/>
                <w:lang w:eastAsia="en-GB"/>
              </w:rPr>
            </w:pPr>
            <w:r>
              <w:rPr>
                <w:i/>
                <w:lang w:eastAsia="en-GB"/>
              </w:rPr>
              <w:t>Carmichael Centre for Voluntary Groups</w:t>
            </w:r>
          </w:p>
        </w:tc>
      </w:tr>
      <w:tr w:rsidR="007E0F80" w:rsidRPr="00A65AB2" w14:paraId="3DF62BC7" w14:textId="77777777" w:rsidTr="00917165">
        <w:tc>
          <w:tcPr>
            <w:tcW w:w="2262" w:type="dxa"/>
          </w:tcPr>
          <w:p w14:paraId="04E0E30A" w14:textId="77777777" w:rsidR="007E0F80" w:rsidRPr="00A65AB2" w:rsidRDefault="007E0F80" w:rsidP="00D61BD5">
            <w:pPr>
              <w:jc w:val="left"/>
              <w:rPr>
                <w:i/>
                <w:lang w:eastAsia="en-GB"/>
              </w:rPr>
            </w:pPr>
          </w:p>
        </w:tc>
        <w:tc>
          <w:tcPr>
            <w:tcW w:w="2401" w:type="dxa"/>
          </w:tcPr>
          <w:p w14:paraId="4272A6BD" w14:textId="29743A5C" w:rsidR="007E0F80" w:rsidRDefault="007E0F80" w:rsidP="007E0F80">
            <w:pPr>
              <w:jc w:val="left"/>
              <w:rPr>
                <w:lang w:eastAsia="en-GB"/>
              </w:rPr>
            </w:pPr>
            <w:r>
              <w:rPr>
                <w:lang w:eastAsia="en-GB"/>
              </w:rPr>
              <w:t xml:space="preserve">Tim </w:t>
            </w:r>
            <w:proofErr w:type="spellStart"/>
            <w:r>
              <w:rPr>
                <w:lang w:eastAsia="en-GB"/>
              </w:rPr>
              <w:t>Hencher</w:t>
            </w:r>
            <w:proofErr w:type="spellEnd"/>
          </w:p>
        </w:tc>
        <w:tc>
          <w:tcPr>
            <w:tcW w:w="4910" w:type="dxa"/>
          </w:tcPr>
          <w:p w14:paraId="43736BAA" w14:textId="6AEFA1B4" w:rsidR="007E0F80" w:rsidRDefault="007E0F80" w:rsidP="007E0F80">
            <w:pPr>
              <w:jc w:val="left"/>
              <w:rPr>
                <w:i/>
                <w:lang w:eastAsia="en-GB"/>
              </w:rPr>
            </w:pPr>
            <w:r>
              <w:rPr>
                <w:i/>
                <w:lang w:eastAsia="en-GB"/>
              </w:rPr>
              <w:t>Scottish Council for Voluntary Organisations</w:t>
            </w:r>
          </w:p>
        </w:tc>
      </w:tr>
      <w:tr w:rsidR="007E0F80" w:rsidRPr="00A65AB2" w14:paraId="021FB20A" w14:textId="77777777" w:rsidTr="00917165">
        <w:tc>
          <w:tcPr>
            <w:tcW w:w="2262" w:type="dxa"/>
          </w:tcPr>
          <w:p w14:paraId="770AABE1" w14:textId="77777777" w:rsidR="007E0F80" w:rsidRPr="00A65AB2" w:rsidRDefault="007E0F80" w:rsidP="00D61BD5">
            <w:pPr>
              <w:jc w:val="left"/>
              <w:rPr>
                <w:i/>
                <w:lang w:eastAsia="en-GB"/>
              </w:rPr>
            </w:pPr>
          </w:p>
        </w:tc>
        <w:tc>
          <w:tcPr>
            <w:tcW w:w="2401" w:type="dxa"/>
          </w:tcPr>
          <w:p w14:paraId="6F70C88D" w14:textId="5FE638DB" w:rsidR="007E0F80" w:rsidRDefault="007E0F80" w:rsidP="007E0F80">
            <w:pPr>
              <w:jc w:val="left"/>
              <w:rPr>
                <w:lang w:eastAsia="en-GB"/>
              </w:rPr>
            </w:pPr>
            <w:r>
              <w:rPr>
                <w:lang w:eastAsia="en-GB"/>
              </w:rPr>
              <w:t>Noel Hyndman</w:t>
            </w:r>
          </w:p>
        </w:tc>
        <w:tc>
          <w:tcPr>
            <w:tcW w:w="4910" w:type="dxa"/>
          </w:tcPr>
          <w:p w14:paraId="54CAC621" w14:textId="1E2015FB" w:rsidR="007E0F80" w:rsidRDefault="007E0F80" w:rsidP="007E0F80">
            <w:pPr>
              <w:jc w:val="left"/>
              <w:rPr>
                <w:i/>
                <w:lang w:eastAsia="en-GB"/>
              </w:rPr>
            </w:pPr>
            <w:r>
              <w:rPr>
                <w:i/>
                <w:lang w:eastAsia="en-GB"/>
              </w:rPr>
              <w:t>Queen’s University Belfast</w:t>
            </w:r>
          </w:p>
        </w:tc>
      </w:tr>
      <w:tr w:rsidR="007E0F80" w:rsidRPr="00A65AB2" w14:paraId="1B6D2963" w14:textId="77777777" w:rsidTr="00917165">
        <w:tc>
          <w:tcPr>
            <w:tcW w:w="2262" w:type="dxa"/>
          </w:tcPr>
          <w:p w14:paraId="12D746E2" w14:textId="77777777" w:rsidR="007E0F80" w:rsidRPr="00A65AB2" w:rsidRDefault="007E0F80" w:rsidP="00D61BD5">
            <w:pPr>
              <w:jc w:val="left"/>
              <w:rPr>
                <w:i/>
                <w:lang w:eastAsia="en-GB"/>
              </w:rPr>
            </w:pPr>
          </w:p>
        </w:tc>
        <w:tc>
          <w:tcPr>
            <w:tcW w:w="2401" w:type="dxa"/>
          </w:tcPr>
          <w:p w14:paraId="67C715FB" w14:textId="33B36BA2" w:rsidR="007E0F80" w:rsidRDefault="007E0F80" w:rsidP="007E0F80">
            <w:pPr>
              <w:jc w:val="left"/>
              <w:rPr>
                <w:lang w:eastAsia="en-GB"/>
              </w:rPr>
            </w:pPr>
            <w:r>
              <w:rPr>
                <w:lang w:eastAsia="en-GB"/>
              </w:rPr>
              <w:t>Joanna Pit</w:t>
            </w:r>
            <w:r w:rsidR="00BF03FB">
              <w:rPr>
                <w:lang w:eastAsia="en-GB"/>
              </w:rPr>
              <w:t>t</w:t>
            </w:r>
            <w:r>
              <w:rPr>
                <w:lang w:eastAsia="en-GB"/>
              </w:rPr>
              <w:t>man</w:t>
            </w:r>
          </w:p>
        </w:tc>
        <w:tc>
          <w:tcPr>
            <w:tcW w:w="4910" w:type="dxa"/>
          </w:tcPr>
          <w:p w14:paraId="5BA31BC5" w14:textId="7ACA1AD7" w:rsidR="007E0F80" w:rsidRDefault="007E0F80" w:rsidP="007E0F80">
            <w:pPr>
              <w:jc w:val="left"/>
              <w:rPr>
                <w:i/>
                <w:lang w:eastAsia="en-GB"/>
              </w:rPr>
            </w:pPr>
            <w:r>
              <w:rPr>
                <w:i/>
                <w:lang w:eastAsia="en-GB"/>
              </w:rPr>
              <w:t>Sayer Vincent</w:t>
            </w:r>
          </w:p>
        </w:tc>
      </w:tr>
      <w:tr w:rsidR="007E0F80" w:rsidRPr="00A65AB2" w14:paraId="71ED409E" w14:textId="77777777" w:rsidTr="00917165">
        <w:tc>
          <w:tcPr>
            <w:tcW w:w="2262" w:type="dxa"/>
          </w:tcPr>
          <w:p w14:paraId="433758C0" w14:textId="77777777" w:rsidR="007E0F80" w:rsidRPr="00A65AB2" w:rsidRDefault="007E0F80" w:rsidP="00D61BD5">
            <w:pPr>
              <w:jc w:val="left"/>
              <w:rPr>
                <w:i/>
                <w:lang w:eastAsia="en-GB"/>
              </w:rPr>
            </w:pPr>
          </w:p>
        </w:tc>
        <w:tc>
          <w:tcPr>
            <w:tcW w:w="2401" w:type="dxa"/>
          </w:tcPr>
          <w:p w14:paraId="3D549AE3" w14:textId="3674AEE1" w:rsidR="007E0F80" w:rsidRDefault="007E0F80" w:rsidP="007E0F80">
            <w:pPr>
              <w:jc w:val="left"/>
              <w:rPr>
                <w:lang w:eastAsia="en-GB"/>
              </w:rPr>
            </w:pPr>
            <w:r>
              <w:rPr>
                <w:lang w:eastAsia="en-GB"/>
              </w:rPr>
              <w:t>Carol Rudge</w:t>
            </w:r>
          </w:p>
        </w:tc>
        <w:tc>
          <w:tcPr>
            <w:tcW w:w="4910" w:type="dxa"/>
          </w:tcPr>
          <w:p w14:paraId="71C6C7D6" w14:textId="3565C27C" w:rsidR="007E0F80" w:rsidRDefault="007E0F80" w:rsidP="007E0F80">
            <w:pPr>
              <w:jc w:val="left"/>
              <w:rPr>
                <w:i/>
                <w:lang w:eastAsia="en-GB"/>
              </w:rPr>
            </w:pPr>
            <w:r>
              <w:rPr>
                <w:i/>
                <w:lang w:eastAsia="en-GB"/>
              </w:rPr>
              <w:t>Grant Thornton</w:t>
            </w:r>
          </w:p>
        </w:tc>
      </w:tr>
      <w:tr w:rsidR="00D61BD5" w:rsidRPr="00A65AB2" w14:paraId="307FC862" w14:textId="77777777" w:rsidTr="00917165">
        <w:tc>
          <w:tcPr>
            <w:tcW w:w="2262" w:type="dxa"/>
          </w:tcPr>
          <w:p w14:paraId="40EC1E52" w14:textId="77777777" w:rsidR="00D61BD5" w:rsidRPr="00A65AB2" w:rsidRDefault="00D61BD5" w:rsidP="00D61BD5">
            <w:pPr>
              <w:jc w:val="left"/>
              <w:rPr>
                <w:i/>
                <w:lang w:eastAsia="en-GB"/>
              </w:rPr>
            </w:pPr>
          </w:p>
        </w:tc>
        <w:tc>
          <w:tcPr>
            <w:tcW w:w="2401" w:type="dxa"/>
          </w:tcPr>
          <w:p w14:paraId="3D541278" w14:textId="015B0DF3" w:rsidR="00903C16" w:rsidRPr="00CB6DAB" w:rsidRDefault="00903C16" w:rsidP="00D61BD5">
            <w:pPr>
              <w:jc w:val="left"/>
              <w:rPr>
                <w:lang w:eastAsia="en-GB"/>
              </w:rPr>
            </w:pPr>
            <w:r>
              <w:rPr>
                <w:lang w:eastAsia="en-GB"/>
              </w:rPr>
              <w:t>Max Rutherford</w:t>
            </w:r>
          </w:p>
        </w:tc>
        <w:tc>
          <w:tcPr>
            <w:tcW w:w="4910" w:type="dxa"/>
          </w:tcPr>
          <w:p w14:paraId="5D5567E6" w14:textId="42C73764" w:rsidR="00903C16" w:rsidRPr="00CB6DAB" w:rsidRDefault="00903C16" w:rsidP="00D61BD5">
            <w:pPr>
              <w:jc w:val="left"/>
              <w:rPr>
                <w:i/>
                <w:lang w:eastAsia="en-GB"/>
              </w:rPr>
            </w:pPr>
            <w:r>
              <w:rPr>
                <w:i/>
                <w:lang w:eastAsia="en-GB"/>
              </w:rPr>
              <w:t>Association of Charitable Foundations</w:t>
            </w:r>
          </w:p>
        </w:tc>
      </w:tr>
      <w:tr w:rsidR="00D61BD5" w:rsidRPr="00A65AB2" w14:paraId="500E9C30" w14:textId="77777777" w:rsidTr="00917165">
        <w:tc>
          <w:tcPr>
            <w:tcW w:w="2262" w:type="dxa"/>
          </w:tcPr>
          <w:p w14:paraId="6A7993F5" w14:textId="77777777" w:rsidR="00D61BD5" w:rsidRPr="00A65AB2" w:rsidRDefault="00D61BD5" w:rsidP="00D61BD5">
            <w:pPr>
              <w:tabs>
                <w:tab w:val="left" w:pos="2268"/>
                <w:tab w:val="left" w:pos="5103"/>
              </w:tabs>
              <w:jc w:val="left"/>
              <w:rPr>
                <w:rFonts w:cs="Times New Roman"/>
                <w:i/>
                <w:lang w:eastAsia="en-GB"/>
              </w:rPr>
            </w:pPr>
          </w:p>
        </w:tc>
        <w:tc>
          <w:tcPr>
            <w:tcW w:w="2401" w:type="dxa"/>
          </w:tcPr>
          <w:p w14:paraId="552E1AFC" w14:textId="3C382967" w:rsidR="00D61BD5" w:rsidRPr="00CB6DAB" w:rsidRDefault="00D61BD5" w:rsidP="00D61BD5">
            <w:pPr>
              <w:tabs>
                <w:tab w:val="left" w:pos="2268"/>
                <w:tab w:val="left" w:pos="5103"/>
              </w:tabs>
              <w:jc w:val="left"/>
              <w:rPr>
                <w:lang w:eastAsia="en-GB"/>
              </w:rPr>
            </w:pPr>
            <w:r w:rsidRPr="00CB6DAB">
              <w:rPr>
                <w:lang w:eastAsia="en-GB"/>
              </w:rPr>
              <w:t>Jenny Simpson</w:t>
            </w:r>
          </w:p>
        </w:tc>
        <w:tc>
          <w:tcPr>
            <w:tcW w:w="4910" w:type="dxa"/>
          </w:tcPr>
          <w:p w14:paraId="64CE0E7C" w14:textId="1EE11874" w:rsidR="00D61BD5" w:rsidRPr="00CB6DAB" w:rsidRDefault="00D61BD5" w:rsidP="00D61BD5">
            <w:pPr>
              <w:tabs>
                <w:tab w:val="left" w:pos="2268"/>
                <w:tab w:val="left" w:pos="5103"/>
              </w:tabs>
              <w:jc w:val="left"/>
              <w:rPr>
                <w:i/>
                <w:lang w:eastAsia="en-GB"/>
              </w:rPr>
            </w:pPr>
            <w:r w:rsidRPr="00CB6DAB">
              <w:rPr>
                <w:i/>
                <w:lang w:eastAsia="en-GB"/>
              </w:rPr>
              <w:t>Wylie + Bissett LLP</w:t>
            </w:r>
          </w:p>
        </w:tc>
      </w:tr>
      <w:tr w:rsidR="007F7A5E" w:rsidRPr="00A65AB2" w14:paraId="270B3C23" w14:textId="77777777" w:rsidTr="00917165">
        <w:tc>
          <w:tcPr>
            <w:tcW w:w="2262" w:type="dxa"/>
          </w:tcPr>
          <w:p w14:paraId="20EBC501" w14:textId="77777777" w:rsidR="007F7A5E" w:rsidRPr="00A65AB2" w:rsidRDefault="007F7A5E" w:rsidP="007F7A5E">
            <w:pPr>
              <w:tabs>
                <w:tab w:val="left" w:pos="2268"/>
                <w:tab w:val="left" w:pos="5103"/>
              </w:tabs>
              <w:jc w:val="left"/>
              <w:rPr>
                <w:rFonts w:cs="Times New Roman"/>
                <w:i/>
                <w:lang w:eastAsia="en-GB"/>
              </w:rPr>
            </w:pPr>
          </w:p>
        </w:tc>
        <w:tc>
          <w:tcPr>
            <w:tcW w:w="2401" w:type="dxa"/>
          </w:tcPr>
          <w:p w14:paraId="0FF16B38" w14:textId="5AB57854" w:rsidR="007F7A5E" w:rsidRPr="00CB6DAB" w:rsidRDefault="00903C16" w:rsidP="00BF03FB">
            <w:pPr>
              <w:tabs>
                <w:tab w:val="left" w:pos="2268"/>
                <w:tab w:val="left" w:pos="5103"/>
              </w:tabs>
              <w:jc w:val="left"/>
              <w:rPr>
                <w:lang w:eastAsia="en-GB"/>
              </w:rPr>
            </w:pPr>
            <w:r>
              <w:rPr>
                <w:lang w:eastAsia="en-GB"/>
              </w:rPr>
              <w:t>Ne</w:t>
            </w:r>
            <w:r w:rsidR="00BF03FB">
              <w:rPr>
                <w:lang w:eastAsia="en-GB"/>
              </w:rPr>
              <w:t>a</w:t>
            </w:r>
            <w:r>
              <w:rPr>
                <w:lang w:eastAsia="en-GB"/>
              </w:rPr>
              <w:t>l Trup</w:t>
            </w:r>
          </w:p>
        </w:tc>
        <w:tc>
          <w:tcPr>
            <w:tcW w:w="4910" w:type="dxa"/>
          </w:tcPr>
          <w:p w14:paraId="3BAAEB22" w14:textId="36ED06AA" w:rsidR="007F7A5E" w:rsidRPr="00CB6DAB" w:rsidRDefault="00903C16" w:rsidP="007F7A5E">
            <w:pPr>
              <w:tabs>
                <w:tab w:val="left" w:pos="2268"/>
                <w:tab w:val="left" w:pos="5103"/>
              </w:tabs>
              <w:jc w:val="left"/>
              <w:rPr>
                <w:i/>
                <w:lang w:eastAsia="en-GB"/>
              </w:rPr>
            </w:pPr>
            <w:r>
              <w:rPr>
                <w:i/>
                <w:lang w:eastAsia="en-GB"/>
              </w:rPr>
              <w:t>Neal Howard Limited</w:t>
            </w:r>
          </w:p>
        </w:tc>
      </w:tr>
      <w:tr w:rsidR="00244D1E" w:rsidRPr="00A65AB2" w14:paraId="20D93AD2" w14:textId="77777777" w:rsidTr="00917165">
        <w:tc>
          <w:tcPr>
            <w:tcW w:w="2262" w:type="dxa"/>
          </w:tcPr>
          <w:p w14:paraId="57CB46EB" w14:textId="77777777" w:rsidR="00244D1E" w:rsidRPr="00A65AB2" w:rsidRDefault="00244D1E" w:rsidP="00244D1E">
            <w:pPr>
              <w:tabs>
                <w:tab w:val="left" w:pos="2268"/>
                <w:tab w:val="left" w:pos="5103"/>
              </w:tabs>
              <w:jc w:val="left"/>
              <w:rPr>
                <w:rFonts w:cs="Times New Roman"/>
                <w:i/>
                <w:lang w:eastAsia="en-GB"/>
              </w:rPr>
            </w:pPr>
          </w:p>
        </w:tc>
        <w:tc>
          <w:tcPr>
            <w:tcW w:w="2401" w:type="dxa"/>
          </w:tcPr>
          <w:p w14:paraId="2C6C7ED6" w14:textId="22F14617" w:rsidR="00244D1E" w:rsidRPr="00CB6DAB" w:rsidRDefault="00244D1E" w:rsidP="00244D1E">
            <w:pPr>
              <w:tabs>
                <w:tab w:val="left" w:pos="2268"/>
                <w:tab w:val="left" w:pos="5103"/>
              </w:tabs>
              <w:jc w:val="left"/>
              <w:rPr>
                <w:lang w:eastAsia="en-GB"/>
              </w:rPr>
            </w:pPr>
            <w:r>
              <w:rPr>
                <w:lang w:eastAsia="en-GB"/>
              </w:rPr>
              <w:t>Gareth Hughes</w:t>
            </w:r>
          </w:p>
        </w:tc>
        <w:tc>
          <w:tcPr>
            <w:tcW w:w="4910" w:type="dxa"/>
          </w:tcPr>
          <w:p w14:paraId="594AACEF" w14:textId="1D1A94F5" w:rsidR="00244D1E" w:rsidRPr="00CB6DAB" w:rsidRDefault="00244D1E" w:rsidP="00244D1E">
            <w:pPr>
              <w:tabs>
                <w:tab w:val="left" w:pos="2268"/>
                <w:tab w:val="left" w:pos="5103"/>
              </w:tabs>
              <w:jc w:val="left"/>
              <w:rPr>
                <w:i/>
                <w:lang w:eastAsia="en-GB"/>
              </w:rPr>
            </w:pPr>
            <w:r>
              <w:rPr>
                <w:i/>
                <w:lang w:eastAsia="en-GB"/>
              </w:rPr>
              <w:t>Down and Connor Diocesan Trust</w:t>
            </w:r>
          </w:p>
        </w:tc>
      </w:tr>
      <w:tr w:rsidR="00244D1E" w:rsidRPr="00A65AB2" w14:paraId="22381839" w14:textId="77777777" w:rsidTr="00917165">
        <w:tc>
          <w:tcPr>
            <w:tcW w:w="2262" w:type="dxa"/>
          </w:tcPr>
          <w:p w14:paraId="742301F1" w14:textId="77777777" w:rsidR="00244D1E" w:rsidRPr="00A65AB2" w:rsidRDefault="00244D1E" w:rsidP="00244D1E">
            <w:pPr>
              <w:tabs>
                <w:tab w:val="left" w:pos="2268"/>
                <w:tab w:val="left" w:pos="5103"/>
              </w:tabs>
              <w:jc w:val="left"/>
              <w:rPr>
                <w:rFonts w:cs="Times New Roman"/>
                <w:lang w:eastAsia="en-GB"/>
              </w:rPr>
            </w:pPr>
          </w:p>
        </w:tc>
        <w:tc>
          <w:tcPr>
            <w:tcW w:w="2401" w:type="dxa"/>
          </w:tcPr>
          <w:p w14:paraId="7E0E66F8" w14:textId="77777777" w:rsidR="00244D1E" w:rsidRPr="00CB6DAB" w:rsidRDefault="00244D1E" w:rsidP="00244D1E">
            <w:pPr>
              <w:tabs>
                <w:tab w:val="left" w:pos="2268"/>
                <w:tab w:val="left" w:pos="5103"/>
              </w:tabs>
              <w:jc w:val="left"/>
              <w:rPr>
                <w:lang w:eastAsia="en-GB"/>
              </w:rPr>
            </w:pPr>
          </w:p>
        </w:tc>
        <w:tc>
          <w:tcPr>
            <w:tcW w:w="4910" w:type="dxa"/>
          </w:tcPr>
          <w:p w14:paraId="09913201" w14:textId="77777777" w:rsidR="00244D1E" w:rsidRPr="00CB6DAB" w:rsidRDefault="00244D1E" w:rsidP="00244D1E">
            <w:pPr>
              <w:tabs>
                <w:tab w:val="left" w:pos="2268"/>
                <w:tab w:val="left" w:pos="5103"/>
              </w:tabs>
              <w:jc w:val="left"/>
              <w:rPr>
                <w:i/>
                <w:lang w:eastAsia="en-GB"/>
              </w:rPr>
            </w:pPr>
          </w:p>
        </w:tc>
      </w:tr>
      <w:tr w:rsidR="00244D1E" w:rsidRPr="00A65AB2" w14:paraId="2D726076" w14:textId="77777777" w:rsidTr="00917165">
        <w:tc>
          <w:tcPr>
            <w:tcW w:w="2262" w:type="dxa"/>
          </w:tcPr>
          <w:p w14:paraId="0E2FD62E" w14:textId="23B9FD62" w:rsidR="00244D1E" w:rsidRPr="00A65AB2" w:rsidRDefault="00244D1E" w:rsidP="00244D1E">
            <w:pPr>
              <w:tabs>
                <w:tab w:val="left" w:pos="2268"/>
                <w:tab w:val="left" w:pos="5103"/>
              </w:tabs>
              <w:jc w:val="left"/>
              <w:rPr>
                <w:rFonts w:cs="Times New Roman"/>
                <w:lang w:eastAsia="en-GB"/>
              </w:rPr>
            </w:pPr>
            <w:r w:rsidRPr="00A65AB2">
              <w:rPr>
                <w:rFonts w:cs="Times New Roman"/>
                <w:lang w:eastAsia="en-GB"/>
              </w:rPr>
              <w:t>In attendance</w:t>
            </w:r>
          </w:p>
        </w:tc>
        <w:tc>
          <w:tcPr>
            <w:tcW w:w="2401" w:type="dxa"/>
          </w:tcPr>
          <w:p w14:paraId="5C38488C" w14:textId="0BC00B1C" w:rsidR="00244D1E" w:rsidRPr="00CB6DAB" w:rsidRDefault="00244D1E" w:rsidP="00244D1E">
            <w:pPr>
              <w:tabs>
                <w:tab w:val="left" w:pos="2268"/>
                <w:tab w:val="left" w:pos="5103"/>
              </w:tabs>
              <w:jc w:val="left"/>
              <w:rPr>
                <w:lang w:eastAsia="en-GB"/>
              </w:rPr>
            </w:pPr>
            <w:r>
              <w:rPr>
                <w:lang w:eastAsia="en-GB"/>
              </w:rPr>
              <w:t>Gillian McKay</w:t>
            </w:r>
          </w:p>
        </w:tc>
        <w:tc>
          <w:tcPr>
            <w:tcW w:w="4910" w:type="dxa"/>
          </w:tcPr>
          <w:p w14:paraId="764418A5" w14:textId="0C57FE48" w:rsidR="00244D1E" w:rsidRPr="00CB6DAB" w:rsidRDefault="00244D1E" w:rsidP="00244D1E">
            <w:pPr>
              <w:tabs>
                <w:tab w:val="left" w:pos="2268"/>
                <w:tab w:val="left" w:pos="5103"/>
              </w:tabs>
              <w:jc w:val="left"/>
              <w:rPr>
                <w:i/>
                <w:lang w:eastAsia="en-GB"/>
              </w:rPr>
            </w:pPr>
            <w:r w:rsidRPr="00CB6DAB">
              <w:rPr>
                <w:i/>
                <w:lang w:eastAsia="en-GB"/>
              </w:rPr>
              <w:t>CIPFA, Secretariat to the SORP Committee</w:t>
            </w:r>
          </w:p>
        </w:tc>
      </w:tr>
      <w:tr w:rsidR="00244D1E" w:rsidRPr="00A65AB2" w14:paraId="7D0449BC" w14:textId="77777777" w:rsidTr="00917165">
        <w:tc>
          <w:tcPr>
            <w:tcW w:w="2262" w:type="dxa"/>
          </w:tcPr>
          <w:p w14:paraId="3BC7DECA" w14:textId="77777777" w:rsidR="00244D1E" w:rsidRPr="00A65AB2" w:rsidRDefault="00244D1E" w:rsidP="00244D1E">
            <w:pPr>
              <w:tabs>
                <w:tab w:val="left" w:pos="2268"/>
                <w:tab w:val="left" w:pos="5103"/>
              </w:tabs>
              <w:jc w:val="left"/>
              <w:rPr>
                <w:rFonts w:ascii="Times New Roman" w:hAnsi="Times New Roman" w:cs="Times New Roman"/>
                <w:lang w:eastAsia="en-GB"/>
              </w:rPr>
            </w:pPr>
          </w:p>
        </w:tc>
        <w:tc>
          <w:tcPr>
            <w:tcW w:w="2401" w:type="dxa"/>
          </w:tcPr>
          <w:p w14:paraId="7DBAAF44" w14:textId="26C2B71F" w:rsidR="00244D1E" w:rsidRDefault="00244D1E" w:rsidP="00244D1E">
            <w:pPr>
              <w:tabs>
                <w:tab w:val="left" w:pos="2268"/>
                <w:tab w:val="left" w:pos="5103"/>
              </w:tabs>
              <w:jc w:val="left"/>
              <w:rPr>
                <w:lang w:eastAsia="en-GB"/>
              </w:rPr>
            </w:pPr>
            <w:r>
              <w:rPr>
                <w:lang w:eastAsia="en-GB"/>
              </w:rPr>
              <w:t>Milan Palmer</w:t>
            </w:r>
            <w:r w:rsidDel="00BF03FB">
              <w:rPr>
                <w:lang w:eastAsia="en-GB"/>
              </w:rPr>
              <w:t xml:space="preserve"> </w:t>
            </w:r>
          </w:p>
        </w:tc>
        <w:tc>
          <w:tcPr>
            <w:tcW w:w="4910" w:type="dxa"/>
          </w:tcPr>
          <w:p w14:paraId="7DE2B345" w14:textId="708F4BE6" w:rsidR="00244D1E" w:rsidRPr="00CB6DAB" w:rsidRDefault="00244D1E" w:rsidP="00244D1E">
            <w:pPr>
              <w:tabs>
                <w:tab w:val="left" w:pos="2268"/>
                <w:tab w:val="left" w:pos="5103"/>
              </w:tabs>
              <w:jc w:val="left"/>
              <w:rPr>
                <w:i/>
                <w:lang w:eastAsia="en-GB"/>
              </w:rPr>
            </w:pPr>
            <w:r>
              <w:rPr>
                <w:i/>
                <w:lang w:eastAsia="en-GB"/>
              </w:rPr>
              <w:t>CIPFA, Secretariat to the SORP Committee</w:t>
            </w:r>
            <w:r w:rsidRPr="00CB6DAB" w:rsidDel="00BF03FB">
              <w:rPr>
                <w:i/>
                <w:lang w:eastAsia="en-GB"/>
              </w:rPr>
              <w:t xml:space="preserve"> </w:t>
            </w:r>
          </w:p>
        </w:tc>
      </w:tr>
      <w:tr w:rsidR="00244D1E" w:rsidRPr="00A65AB2" w14:paraId="2534CE4C" w14:textId="77777777" w:rsidTr="00917165">
        <w:tc>
          <w:tcPr>
            <w:tcW w:w="2262" w:type="dxa"/>
          </w:tcPr>
          <w:p w14:paraId="024D8C98" w14:textId="77777777" w:rsidR="00244D1E" w:rsidRPr="00A65AB2" w:rsidRDefault="00244D1E" w:rsidP="00244D1E">
            <w:pPr>
              <w:tabs>
                <w:tab w:val="left" w:pos="2268"/>
                <w:tab w:val="left" w:pos="5103"/>
              </w:tabs>
              <w:jc w:val="left"/>
              <w:rPr>
                <w:rFonts w:ascii="Times New Roman" w:hAnsi="Times New Roman" w:cs="Times New Roman"/>
                <w:lang w:eastAsia="en-GB"/>
              </w:rPr>
            </w:pPr>
          </w:p>
        </w:tc>
        <w:tc>
          <w:tcPr>
            <w:tcW w:w="2401" w:type="dxa"/>
          </w:tcPr>
          <w:p w14:paraId="741749F4" w14:textId="38486744" w:rsidR="00244D1E" w:rsidRDefault="00244D1E" w:rsidP="00244D1E">
            <w:pPr>
              <w:tabs>
                <w:tab w:val="left" w:pos="2268"/>
                <w:tab w:val="left" w:pos="5103"/>
              </w:tabs>
              <w:jc w:val="left"/>
              <w:rPr>
                <w:lang w:eastAsia="en-GB"/>
              </w:rPr>
            </w:pPr>
            <w:r>
              <w:rPr>
                <w:lang w:eastAsia="en-GB"/>
              </w:rPr>
              <w:t>Sarah Sheen</w:t>
            </w:r>
          </w:p>
        </w:tc>
        <w:tc>
          <w:tcPr>
            <w:tcW w:w="4910" w:type="dxa"/>
          </w:tcPr>
          <w:p w14:paraId="3C7D1253" w14:textId="4CAE66A2" w:rsidR="00244D1E" w:rsidRPr="00CB6DAB" w:rsidRDefault="00244D1E" w:rsidP="00244D1E">
            <w:pPr>
              <w:tabs>
                <w:tab w:val="left" w:pos="2268"/>
                <w:tab w:val="left" w:pos="5103"/>
              </w:tabs>
              <w:jc w:val="left"/>
              <w:rPr>
                <w:i/>
                <w:lang w:eastAsia="en-GB"/>
              </w:rPr>
            </w:pPr>
            <w:r w:rsidRPr="00CB6DAB">
              <w:rPr>
                <w:i/>
                <w:lang w:eastAsia="en-GB"/>
              </w:rPr>
              <w:t>CIPFA, Secretariat to the SORP Committee</w:t>
            </w:r>
          </w:p>
        </w:tc>
      </w:tr>
      <w:tr w:rsidR="00244D1E" w:rsidRPr="00A65AB2" w14:paraId="38708917" w14:textId="77777777" w:rsidTr="00917165">
        <w:tc>
          <w:tcPr>
            <w:tcW w:w="2262" w:type="dxa"/>
          </w:tcPr>
          <w:p w14:paraId="32A78450" w14:textId="77777777" w:rsidR="00244D1E" w:rsidRPr="00A65AB2" w:rsidRDefault="00244D1E" w:rsidP="00244D1E">
            <w:pPr>
              <w:tabs>
                <w:tab w:val="left" w:pos="2268"/>
                <w:tab w:val="left" w:pos="5103"/>
              </w:tabs>
              <w:jc w:val="left"/>
              <w:rPr>
                <w:rFonts w:ascii="Times New Roman" w:hAnsi="Times New Roman" w:cs="Times New Roman"/>
                <w:lang w:eastAsia="en-GB"/>
              </w:rPr>
            </w:pPr>
          </w:p>
        </w:tc>
        <w:tc>
          <w:tcPr>
            <w:tcW w:w="2401" w:type="dxa"/>
          </w:tcPr>
          <w:p w14:paraId="5F8BACDB" w14:textId="10972246" w:rsidR="00244D1E" w:rsidRPr="00CB6DAB" w:rsidRDefault="00244D1E" w:rsidP="00244D1E">
            <w:pPr>
              <w:tabs>
                <w:tab w:val="left" w:pos="2268"/>
                <w:tab w:val="left" w:pos="5103"/>
              </w:tabs>
              <w:jc w:val="left"/>
              <w:rPr>
                <w:lang w:eastAsia="en-GB"/>
              </w:rPr>
            </w:pPr>
          </w:p>
        </w:tc>
        <w:tc>
          <w:tcPr>
            <w:tcW w:w="4910" w:type="dxa"/>
          </w:tcPr>
          <w:p w14:paraId="0C732574" w14:textId="7682BCEF" w:rsidR="00244D1E" w:rsidRPr="00CB6DAB" w:rsidRDefault="00244D1E" w:rsidP="00244D1E">
            <w:pPr>
              <w:tabs>
                <w:tab w:val="left" w:pos="2268"/>
                <w:tab w:val="left" w:pos="5103"/>
              </w:tabs>
              <w:jc w:val="left"/>
              <w:rPr>
                <w:i/>
                <w:lang w:eastAsia="en-GB"/>
              </w:rPr>
            </w:pPr>
          </w:p>
        </w:tc>
      </w:tr>
      <w:tr w:rsidR="00244D1E" w:rsidRPr="00A65AB2" w14:paraId="792A3D3E" w14:textId="77777777" w:rsidTr="00917165">
        <w:tc>
          <w:tcPr>
            <w:tcW w:w="2262" w:type="dxa"/>
          </w:tcPr>
          <w:p w14:paraId="35B77A48" w14:textId="6353783E" w:rsidR="00244D1E" w:rsidRDefault="00244D1E" w:rsidP="00244D1E">
            <w:pPr>
              <w:tabs>
                <w:tab w:val="left" w:pos="2268"/>
                <w:tab w:val="left" w:pos="5103"/>
              </w:tabs>
              <w:jc w:val="left"/>
              <w:rPr>
                <w:rFonts w:cs="Times New Roman"/>
                <w:lang w:eastAsia="en-GB"/>
              </w:rPr>
            </w:pPr>
            <w:r>
              <w:rPr>
                <w:rFonts w:cs="Times New Roman"/>
                <w:lang w:eastAsia="en-GB"/>
              </w:rPr>
              <w:t>Observers</w:t>
            </w:r>
          </w:p>
        </w:tc>
        <w:tc>
          <w:tcPr>
            <w:tcW w:w="2401" w:type="dxa"/>
          </w:tcPr>
          <w:p w14:paraId="5ADAF326" w14:textId="54B9C041" w:rsidR="00244D1E" w:rsidRDefault="00244D1E" w:rsidP="00244D1E">
            <w:pPr>
              <w:tabs>
                <w:tab w:val="left" w:pos="2268"/>
                <w:tab w:val="left" w:pos="5103"/>
              </w:tabs>
              <w:jc w:val="left"/>
              <w:rPr>
                <w:lang w:eastAsia="en-GB"/>
              </w:rPr>
            </w:pPr>
            <w:r>
              <w:rPr>
                <w:lang w:eastAsia="en-GB"/>
              </w:rPr>
              <w:t>Jenny Carter</w:t>
            </w:r>
          </w:p>
        </w:tc>
        <w:tc>
          <w:tcPr>
            <w:tcW w:w="4910" w:type="dxa"/>
          </w:tcPr>
          <w:p w14:paraId="1CAECE3A" w14:textId="75115C78" w:rsidR="00244D1E" w:rsidRDefault="00244D1E" w:rsidP="00244D1E">
            <w:pPr>
              <w:tabs>
                <w:tab w:val="left" w:pos="2268"/>
                <w:tab w:val="left" w:pos="5103"/>
              </w:tabs>
              <w:jc w:val="left"/>
              <w:rPr>
                <w:i/>
                <w:lang w:eastAsia="en-GB"/>
              </w:rPr>
            </w:pPr>
            <w:r>
              <w:rPr>
                <w:i/>
                <w:lang w:eastAsia="en-GB"/>
              </w:rPr>
              <w:t>Financial Reporting Council</w:t>
            </w:r>
          </w:p>
        </w:tc>
      </w:tr>
      <w:tr w:rsidR="00244D1E" w:rsidRPr="00A65AB2" w14:paraId="21B02E88" w14:textId="77777777" w:rsidTr="00917165">
        <w:tc>
          <w:tcPr>
            <w:tcW w:w="2262" w:type="dxa"/>
          </w:tcPr>
          <w:p w14:paraId="6D589C0D" w14:textId="77777777" w:rsidR="00244D1E" w:rsidRDefault="00244D1E" w:rsidP="00244D1E">
            <w:pPr>
              <w:tabs>
                <w:tab w:val="left" w:pos="2268"/>
                <w:tab w:val="left" w:pos="5103"/>
              </w:tabs>
              <w:jc w:val="left"/>
              <w:rPr>
                <w:rFonts w:cs="Times New Roman"/>
                <w:lang w:eastAsia="en-GB"/>
              </w:rPr>
            </w:pPr>
          </w:p>
        </w:tc>
        <w:tc>
          <w:tcPr>
            <w:tcW w:w="2401" w:type="dxa"/>
          </w:tcPr>
          <w:p w14:paraId="7B678F90" w14:textId="7E7588FC" w:rsidR="00244D1E" w:rsidRDefault="00244D1E" w:rsidP="00244D1E">
            <w:pPr>
              <w:tabs>
                <w:tab w:val="left" w:pos="2268"/>
                <w:tab w:val="left" w:pos="5103"/>
              </w:tabs>
              <w:jc w:val="left"/>
              <w:rPr>
                <w:lang w:eastAsia="en-GB"/>
              </w:rPr>
            </w:pPr>
            <w:r>
              <w:rPr>
                <w:lang w:eastAsia="en-GB"/>
              </w:rPr>
              <w:t>Jelena Griscenko</w:t>
            </w:r>
          </w:p>
        </w:tc>
        <w:tc>
          <w:tcPr>
            <w:tcW w:w="4910" w:type="dxa"/>
          </w:tcPr>
          <w:p w14:paraId="4EFB81D2" w14:textId="558AEE54" w:rsidR="00244D1E" w:rsidRDefault="00244D1E" w:rsidP="00244D1E">
            <w:pPr>
              <w:tabs>
                <w:tab w:val="left" w:pos="2268"/>
                <w:tab w:val="left" w:pos="5103"/>
              </w:tabs>
              <w:jc w:val="left"/>
              <w:rPr>
                <w:i/>
                <w:lang w:eastAsia="en-GB"/>
              </w:rPr>
            </w:pPr>
            <w:r>
              <w:rPr>
                <w:i/>
                <w:lang w:eastAsia="en-GB"/>
              </w:rPr>
              <w:t>The Charities Regulator in Ireland</w:t>
            </w:r>
          </w:p>
        </w:tc>
      </w:tr>
      <w:tr w:rsidR="00244D1E" w:rsidRPr="00A65AB2" w14:paraId="5E4EF054" w14:textId="77777777" w:rsidTr="00917165">
        <w:tc>
          <w:tcPr>
            <w:tcW w:w="2262" w:type="dxa"/>
          </w:tcPr>
          <w:p w14:paraId="6B97B73A" w14:textId="77777777" w:rsidR="00244D1E" w:rsidRDefault="00244D1E" w:rsidP="00244D1E">
            <w:pPr>
              <w:tabs>
                <w:tab w:val="left" w:pos="2268"/>
                <w:tab w:val="left" w:pos="5103"/>
              </w:tabs>
              <w:jc w:val="left"/>
              <w:rPr>
                <w:rFonts w:cs="Times New Roman"/>
                <w:lang w:eastAsia="en-GB"/>
              </w:rPr>
            </w:pPr>
          </w:p>
        </w:tc>
        <w:tc>
          <w:tcPr>
            <w:tcW w:w="2401" w:type="dxa"/>
          </w:tcPr>
          <w:p w14:paraId="365D2A7A" w14:textId="77777777" w:rsidR="00244D1E" w:rsidRDefault="00244D1E" w:rsidP="00244D1E">
            <w:pPr>
              <w:tabs>
                <w:tab w:val="left" w:pos="2268"/>
                <w:tab w:val="left" w:pos="5103"/>
              </w:tabs>
              <w:jc w:val="left"/>
              <w:rPr>
                <w:lang w:eastAsia="en-GB"/>
              </w:rPr>
            </w:pPr>
          </w:p>
        </w:tc>
        <w:tc>
          <w:tcPr>
            <w:tcW w:w="4910" w:type="dxa"/>
          </w:tcPr>
          <w:p w14:paraId="2F334E48" w14:textId="77777777" w:rsidR="00244D1E" w:rsidRDefault="00244D1E" w:rsidP="00244D1E">
            <w:pPr>
              <w:tabs>
                <w:tab w:val="left" w:pos="2268"/>
                <w:tab w:val="left" w:pos="5103"/>
              </w:tabs>
              <w:jc w:val="left"/>
              <w:rPr>
                <w:i/>
                <w:lang w:eastAsia="en-GB"/>
              </w:rPr>
            </w:pPr>
          </w:p>
        </w:tc>
      </w:tr>
      <w:tr w:rsidR="00244D1E" w:rsidRPr="00A65AB2" w14:paraId="29D64B1D" w14:textId="77777777" w:rsidTr="00917165">
        <w:tc>
          <w:tcPr>
            <w:tcW w:w="2262" w:type="dxa"/>
          </w:tcPr>
          <w:p w14:paraId="43E5C7C0" w14:textId="77777777" w:rsidR="00244D1E" w:rsidRPr="00A65AB2" w:rsidRDefault="00244D1E" w:rsidP="00244D1E">
            <w:pPr>
              <w:jc w:val="left"/>
              <w:rPr>
                <w:rFonts w:cs="Times New Roman"/>
                <w:lang w:eastAsia="en-GB"/>
              </w:rPr>
            </w:pPr>
          </w:p>
        </w:tc>
        <w:tc>
          <w:tcPr>
            <w:tcW w:w="2401" w:type="dxa"/>
            <w:shd w:val="clear" w:color="auto" w:fill="auto"/>
          </w:tcPr>
          <w:p w14:paraId="612CD84E" w14:textId="2CE01C45" w:rsidR="00244D1E" w:rsidRPr="002528BA" w:rsidRDefault="00244D1E" w:rsidP="00244D1E">
            <w:pPr>
              <w:jc w:val="left"/>
              <w:rPr>
                <w:lang w:eastAsia="en-GB"/>
              </w:rPr>
            </w:pPr>
          </w:p>
        </w:tc>
        <w:tc>
          <w:tcPr>
            <w:tcW w:w="4910" w:type="dxa"/>
            <w:shd w:val="clear" w:color="auto" w:fill="auto"/>
          </w:tcPr>
          <w:p w14:paraId="10731416" w14:textId="2CA95EC8" w:rsidR="00244D1E" w:rsidRPr="006146E4" w:rsidRDefault="00244D1E" w:rsidP="00244D1E">
            <w:pPr>
              <w:jc w:val="left"/>
              <w:rPr>
                <w:i/>
                <w:lang w:eastAsia="en-GB"/>
              </w:rPr>
            </w:pPr>
          </w:p>
        </w:tc>
      </w:tr>
      <w:tr w:rsidR="00244D1E" w:rsidRPr="00A65AB2" w14:paraId="760452F5" w14:textId="77777777" w:rsidTr="00917165">
        <w:tc>
          <w:tcPr>
            <w:tcW w:w="2262" w:type="dxa"/>
          </w:tcPr>
          <w:p w14:paraId="5ECD3D4A" w14:textId="77777777" w:rsidR="00244D1E" w:rsidRPr="00A65AB2" w:rsidRDefault="00244D1E" w:rsidP="00244D1E">
            <w:pPr>
              <w:jc w:val="left"/>
              <w:rPr>
                <w:rFonts w:cs="Times New Roman"/>
                <w:lang w:eastAsia="en-GB"/>
              </w:rPr>
            </w:pPr>
          </w:p>
        </w:tc>
        <w:tc>
          <w:tcPr>
            <w:tcW w:w="2401" w:type="dxa"/>
            <w:shd w:val="clear" w:color="auto" w:fill="auto"/>
          </w:tcPr>
          <w:p w14:paraId="02B51BE6" w14:textId="3B738571" w:rsidR="00244D1E" w:rsidRPr="002528BA" w:rsidRDefault="00244D1E" w:rsidP="00244D1E">
            <w:pPr>
              <w:jc w:val="left"/>
              <w:rPr>
                <w:lang w:eastAsia="en-GB"/>
              </w:rPr>
            </w:pPr>
          </w:p>
        </w:tc>
        <w:tc>
          <w:tcPr>
            <w:tcW w:w="4910" w:type="dxa"/>
            <w:shd w:val="clear" w:color="auto" w:fill="auto"/>
          </w:tcPr>
          <w:p w14:paraId="78FBFC20" w14:textId="47484B09" w:rsidR="00244D1E" w:rsidRPr="006146E4" w:rsidRDefault="00244D1E" w:rsidP="00244D1E">
            <w:pPr>
              <w:jc w:val="left"/>
              <w:rPr>
                <w:i/>
                <w:lang w:eastAsia="en-GB"/>
              </w:rPr>
            </w:pPr>
          </w:p>
        </w:tc>
      </w:tr>
      <w:tr w:rsidR="00244D1E" w:rsidRPr="00A65AB2" w14:paraId="446585E3" w14:textId="77777777" w:rsidTr="00917165">
        <w:tc>
          <w:tcPr>
            <w:tcW w:w="2262" w:type="dxa"/>
          </w:tcPr>
          <w:p w14:paraId="721C5834" w14:textId="77777777" w:rsidR="00244D1E" w:rsidRPr="00A65AB2" w:rsidRDefault="00244D1E" w:rsidP="00244D1E">
            <w:pPr>
              <w:jc w:val="left"/>
              <w:rPr>
                <w:rFonts w:cs="Times New Roman"/>
                <w:lang w:eastAsia="en-GB"/>
              </w:rPr>
            </w:pPr>
          </w:p>
        </w:tc>
        <w:tc>
          <w:tcPr>
            <w:tcW w:w="2401" w:type="dxa"/>
            <w:shd w:val="clear" w:color="auto" w:fill="auto"/>
          </w:tcPr>
          <w:p w14:paraId="4470A56C" w14:textId="77777777" w:rsidR="00244D1E" w:rsidRDefault="00244D1E" w:rsidP="00244D1E">
            <w:pPr>
              <w:jc w:val="left"/>
              <w:rPr>
                <w:lang w:eastAsia="en-GB"/>
              </w:rPr>
            </w:pPr>
          </w:p>
        </w:tc>
        <w:tc>
          <w:tcPr>
            <w:tcW w:w="4910" w:type="dxa"/>
            <w:shd w:val="clear" w:color="auto" w:fill="auto"/>
          </w:tcPr>
          <w:p w14:paraId="3086F4AE" w14:textId="77777777" w:rsidR="00244D1E" w:rsidRDefault="00244D1E" w:rsidP="00244D1E">
            <w:pPr>
              <w:jc w:val="left"/>
              <w:rPr>
                <w:i/>
                <w:lang w:eastAsia="en-GB"/>
              </w:rPr>
            </w:pPr>
          </w:p>
        </w:tc>
      </w:tr>
    </w:tbl>
    <w:p w14:paraId="114FB4A1" w14:textId="77777777" w:rsidR="00557A76" w:rsidRDefault="00557A76"/>
    <w:tbl>
      <w:tblPr>
        <w:tblStyle w:val="TableGrid1"/>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5"/>
        <w:gridCol w:w="7831"/>
        <w:gridCol w:w="1524"/>
      </w:tblGrid>
      <w:tr w:rsidR="00557A76" w:rsidRPr="00E7339A" w14:paraId="6A4FD52F" w14:textId="77777777" w:rsidTr="00917165">
        <w:tc>
          <w:tcPr>
            <w:tcW w:w="885" w:type="dxa"/>
          </w:tcPr>
          <w:p w14:paraId="50A30B3A" w14:textId="3F9FD330" w:rsidR="00BF03FB" w:rsidRPr="00E7339A" w:rsidRDefault="00BF03FB"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7339A">
              <w:rPr>
                <w:rFonts w:eastAsiaTheme="minorEastAsia" w:cs="Times New Roman"/>
                <w:b/>
                <w:lang w:eastAsia="en-GB"/>
              </w:rPr>
              <w:t>1</w:t>
            </w:r>
            <w:r>
              <w:rPr>
                <w:rFonts w:eastAsiaTheme="minorEastAsia" w:cs="Times New Roman"/>
                <w:b/>
                <w:lang w:eastAsia="en-GB"/>
              </w:rPr>
              <w:t>.</w:t>
            </w:r>
          </w:p>
        </w:tc>
        <w:tc>
          <w:tcPr>
            <w:tcW w:w="7831" w:type="dxa"/>
          </w:tcPr>
          <w:p w14:paraId="19F2821F" w14:textId="33AA02B9" w:rsidR="00BF03FB" w:rsidRPr="00E7339A" w:rsidRDefault="00BF03FB">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8584E">
              <w:rPr>
                <w:b/>
              </w:rPr>
              <w:t>Welcome, apologies for absences and declarations of interest</w:t>
            </w:r>
          </w:p>
        </w:tc>
        <w:tc>
          <w:tcPr>
            <w:tcW w:w="1524" w:type="dxa"/>
          </w:tcPr>
          <w:p w14:paraId="07768EC5" w14:textId="31D3FA51" w:rsidR="00BF03FB" w:rsidRPr="00EB416B" w:rsidRDefault="00BF03FB" w:rsidP="0091716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B416B">
              <w:rPr>
                <w:rFonts w:eastAsiaTheme="minorEastAsia" w:cs="Times New Roman"/>
                <w:b/>
                <w:lang w:eastAsia="en-GB"/>
              </w:rPr>
              <w:t>Action</w:t>
            </w:r>
          </w:p>
        </w:tc>
      </w:tr>
      <w:tr w:rsidR="00557A76" w:rsidRPr="00E7339A" w14:paraId="6640CE83" w14:textId="77777777" w:rsidTr="00917165">
        <w:tc>
          <w:tcPr>
            <w:tcW w:w="885" w:type="dxa"/>
          </w:tcPr>
          <w:p w14:paraId="57CD3013" w14:textId="3308A25C" w:rsidR="00BF03FB" w:rsidRPr="002F393E" w:rsidRDefault="00BF03FB"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1.1</w:t>
            </w:r>
          </w:p>
        </w:tc>
        <w:tc>
          <w:tcPr>
            <w:tcW w:w="7831" w:type="dxa"/>
          </w:tcPr>
          <w:p w14:paraId="4BE2DCF5" w14:textId="53DEE3AC" w:rsidR="00557A76" w:rsidRDefault="00DF6BD4" w:rsidP="00917165">
            <w:r>
              <w:t xml:space="preserve">The Chair </w:t>
            </w:r>
            <w:r w:rsidR="00BF03FB">
              <w:t xml:space="preserve">welcomed </w:t>
            </w:r>
            <w:r w:rsidR="00D02F5A">
              <w:t>SORP Committee Members</w:t>
            </w:r>
            <w:r w:rsidR="00BF03FB">
              <w:t xml:space="preserve"> to the meeting.</w:t>
            </w:r>
            <w:r w:rsidR="00D02F5A">
              <w:t xml:space="preserve"> </w:t>
            </w:r>
          </w:p>
          <w:p w14:paraId="30AC8DDF" w14:textId="77777777" w:rsidR="00DF3016" w:rsidRDefault="00DF3016" w:rsidP="00DF3016"/>
          <w:p w14:paraId="01528EC5" w14:textId="77777777" w:rsidR="00BF03FB" w:rsidRDefault="00DF3016" w:rsidP="00F30816">
            <w:r>
              <w:t>There were no declarations of interest</w:t>
            </w:r>
            <w:r w:rsidR="00F30816">
              <w:t>.</w:t>
            </w:r>
          </w:p>
          <w:p w14:paraId="75BA1B9F" w14:textId="7155BD78" w:rsidR="00F30816" w:rsidRPr="00F311BD" w:rsidRDefault="00F30816" w:rsidP="00F30816"/>
        </w:tc>
        <w:tc>
          <w:tcPr>
            <w:tcW w:w="1524" w:type="dxa"/>
            <w:vAlign w:val="center"/>
          </w:tcPr>
          <w:p w14:paraId="7FC290FA" w14:textId="25A63F91" w:rsidR="00BF03FB" w:rsidRPr="00E7339A" w:rsidRDefault="00BF03FB" w:rsidP="00557A76">
            <w:pPr>
              <w:overflowPunct/>
              <w:autoSpaceDE/>
              <w:autoSpaceDN/>
              <w:adjustRightInd/>
              <w:spacing w:before="100" w:beforeAutospacing="1" w:after="120" w:line="276" w:lineRule="auto"/>
              <w:ind w:right="2302"/>
              <w:jc w:val="left"/>
              <w:textAlignment w:val="auto"/>
              <w:rPr>
                <w:rFonts w:eastAsiaTheme="minorEastAsia" w:cs="Times New Roman"/>
                <w:lang w:eastAsia="en-GB"/>
              </w:rPr>
            </w:pPr>
          </w:p>
        </w:tc>
      </w:tr>
      <w:tr w:rsidR="002C4056" w:rsidRPr="00E7339A" w14:paraId="391B344F" w14:textId="77777777" w:rsidTr="00917165">
        <w:tc>
          <w:tcPr>
            <w:tcW w:w="885" w:type="dxa"/>
          </w:tcPr>
          <w:p w14:paraId="702E2ADE" w14:textId="7B603D99"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2.</w:t>
            </w:r>
          </w:p>
        </w:tc>
        <w:tc>
          <w:tcPr>
            <w:tcW w:w="7831" w:type="dxa"/>
          </w:tcPr>
          <w:p w14:paraId="7F92C688" w14:textId="77777777" w:rsidR="002C4056" w:rsidRPr="009764CD" w:rsidRDefault="002C4056" w:rsidP="002C4056">
            <w:pPr>
              <w:rPr>
                <w:b/>
              </w:rPr>
            </w:pPr>
            <w:r w:rsidRPr="009764CD">
              <w:rPr>
                <w:b/>
              </w:rPr>
              <w:t>Mi</w:t>
            </w:r>
            <w:r>
              <w:rPr>
                <w:b/>
              </w:rPr>
              <w:t>nutes of the meeting of 30 April</w:t>
            </w:r>
            <w:r w:rsidRPr="009764CD">
              <w:rPr>
                <w:b/>
              </w:rPr>
              <w:t xml:space="preserve"> 2020</w:t>
            </w:r>
            <w:r>
              <w:rPr>
                <w:b/>
              </w:rPr>
              <w:t xml:space="preserve"> and matters arising</w:t>
            </w:r>
          </w:p>
          <w:p w14:paraId="362F7B9D" w14:textId="77777777" w:rsidR="002C4056" w:rsidRPr="009764CD" w:rsidRDefault="002C4056" w:rsidP="002C4056">
            <w:pPr>
              <w:rPr>
                <w:b/>
              </w:rPr>
            </w:pPr>
          </w:p>
        </w:tc>
        <w:tc>
          <w:tcPr>
            <w:tcW w:w="1524" w:type="dxa"/>
            <w:vAlign w:val="bottom"/>
          </w:tcPr>
          <w:p w14:paraId="56A5FE57" w14:textId="77777777"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4056" w:rsidRPr="00E7339A" w14:paraId="7CDF11EA" w14:textId="77777777" w:rsidTr="00917165">
        <w:tc>
          <w:tcPr>
            <w:tcW w:w="885" w:type="dxa"/>
          </w:tcPr>
          <w:p w14:paraId="0DC16614" w14:textId="3CD74498" w:rsidR="002C4056" w:rsidRPr="002F393E"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2.1</w:t>
            </w:r>
          </w:p>
        </w:tc>
        <w:tc>
          <w:tcPr>
            <w:tcW w:w="7831" w:type="dxa"/>
          </w:tcPr>
          <w:p w14:paraId="645D0AEC" w14:textId="77777777" w:rsidR="00115908" w:rsidRDefault="002C4056" w:rsidP="00F97210">
            <w:pPr>
              <w:jc w:val="left"/>
            </w:pPr>
            <w:r w:rsidRPr="00976CCD">
              <w:t xml:space="preserve">The draft minutes of the previous </w:t>
            </w:r>
            <w:r>
              <w:t>c</w:t>
            </w:r>
            <w:r w:rsidRPr="00976CCD">
              <w:t xml:space="preserve">ommittee meeting were approved subject </w:t>
            </w:r>
            <w:r>
              <w:t xml:space="preserve">to </w:t>
            </w:r>
            <w:proofErr w:type="gramStart"/>
            <w:r>
              <w:t>a number of</w:t>
            </w:r>
            <w:proofErr w:type="gramEnd"/>
            <w:r>
              <w:t xml:space="preserve"> amendments. Some concern was expressed over their length and the emphasis made </w:t>
            </w:r>
            <w:r w:rsidR="00F97210">
              <w:t>on</w:t>
            </w:r>
            <w:r>
              <w:t xml:space="preserve"> some of the points.</w:t>
            </w:r>
          </w:p>
          <w:p w14:paraId="1B7E3D31" w14:textId="77777777" w:rsidR="00115908" w:rsidRDefault="00115908" w:rsidP="00F97210">
            <w:pPr>
              <w:jc w:val="left"/>
            </w:pPr>
          </w:p>
          <w:p w14:paraId="4F75C90F" w14:textId="6078F5E5" w:rsidR="002C4056" w:rsidRPr="009764CD" w:rsidRDefault="00820D5C" w:rsidP="00F97210">
            <w:pPr>
              <w:jc w:val="left"/>
              <w:rPr>
                <w:b/>
              </w:rPr>
            </w:pPr>
            <w:r>
              <w:t xml:space="preserve"> </w:t>
            </w:r>
          </w:p>
        </w:tc>
        <w:tc>
          <w:tcPr>
            <w:tcW w:w="1524" w:type="dxa"/>
            <w:vAlign w:val="bottom"/>
          </w:tcPr>
          <w:p w14:paraId="74AF1C56" w14:textId="4AD47D73" w:rsidR="002C4056" w:rsidRDefault="00115908"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b/>
                <w:lang w:eastAsia="en-GB"/>
              </w:rPr>
              <w:t>CIPFA</w:t>
            </w:r>
          </w:p>
        </w:tc>
      </w:tr>
      <w:tr w:rsidR="002C4056" w:rsidRPr="00E7339A" w14:paraId="1ACC8878" w14:textId="77777777" w:rsidTr="00917165">
        <w:tc>
          <w:tcPr>
            <w:tcW w:w="885" w:type="dxa"/>
          </w:tcPr>
          <w:p w14:paraId="6451B250" w14:textId="709A4FEF" w:rsidR="002C4056" w:rsidRPr="002F393E"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lastRenderedPageBreak/>
              <w:t>2.2</w:t>
            </w:r>
          </w:p>
        </w:tc>
        <w:tc>
          <w:tcPr>
            <w:tcW w:w="7831" w:type="dxa"/>
          </w:tcPr>
          <w:p w14:paraId="786A1DF9" w14:textId="77777777" w:rsidR="002C4056" w:rsidRDefault="002C4056" w:rsidP="002C4056">
            <w:pPr>
              <w:rPr>
                <w:b/>
              </w:rPr>
            </w:pPr>
            <w:r w:rsidRPr="00557C63">
              <w:rPr>
                <w:b/>
              </w:rPr>
              <w:t>Matters arising</w:t>
            </w:r>
          </w:p>
          <w:p w14:paraId="2D32A671" w14:textId="77777777" w:rsidR="002C4056" w:rsidRPr="009764CD" w:rsidRDefault="002C4056" w:rsidP="002C4056">
            <w:pPr>
              <w:rPr>
                <w:b/>
              </w:rPr>
            </w:pPr>
          </w:p>
        </w:tc>
        <w:tc>
          <w:tcPr>
            <w:tcW w:w="1524" w:type="dxa"/>
            <w:vAlign w:val="bottom"/>
          </w:tcPr>
          <w:p w14:paraId="0B280ECD" w14:textId="54DD9086" w:rsidR="002C4056" w:rsidRPr="002F393E" w:rsidRDefault="002C4056"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p>
        </w:tc>
      </w:tr>
      <w:tr w:rsidR="002C4056" w:rsidRPr="00E7339A" w14:paraId="2971718C" w14:textId="77777777" w:rsidTr="00917165">
        <w:tc>
          <w:tcPr>
            <w:tcW w:w="885" w:type="dxa"/>
          </w:tcPr>
          <w:p w14:paraId="3857181E" w14:textId="012853D9" w:rsidR="002C4056" w:rsidRPr="00255291"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55291">
              <w:rPr>
                <w:rFonts w:eastAsiaTheme="minorEastAsia" w:cs="Times New Roman"/>
                <w:lang w:eastAsia="en-GB"/>
              </w:rPr>
              <w:t>2.3</w:t>
            </w:r>
          </w:p>
        </w:tc>
        <w:tc>
          <w:tcPr>
            <w:tcW w:w="7831" w:type="dxa"/>
          </w:tcPr>
          <w:p w14:paraId="00450EA5" w14:textId="539C14F9" w:rsidR="002C4056" w:rsidRPr="00557C63" w:rsidRDefault="002C4056" w:rsidP="00255291">
            <w:pPr>
              <w:overflowPunct/>
              <w:autoSpaceDE/>
              <w:autoSpaceDN/>
              <w:adjustRightInd/>
              <w:spacing w:after="160" w:line="259" w:lineRule="auto"/>
              <w:contextualSpacing/>
              <w:jc w:val="left"/>
              <w:textAlignment w:val="auto"/>
              <w:rPr>
                <w:b/>
              </w:rPr>
            </w:pPr>
            <w:r w:rsidRPr="002C4056">
              <w:rPr>
                <w:b/>
              </w:rPr>
              <w:t>Definition of income</w:t>
            </w:r>
          </w:p>
        </w:tc>
        <w:tc>
          <w:tcPr>
            <w:tcW w:w="1524" w:type="dxa"/>
            <w:vAlign w:val="bottom"/>
          </w:tcPr>
          <w:p w14:paraId="744F836A" w14:textId="77777777"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55291" w:rsidRPr="00E7339A" w14:paraId="6A6A0B81" w14:textId="77777777" w:rsidTr="00917165">
        <w:tc>
          <w:tcPr>
            <w:tcW w:w="885" w:type="dxa"/>
          </w:tcPr>
          <w:p w14:paraId="5C23603F" w14:textId="014838B9" w:rsidR="00255291" w:rsidRPr="00255291" w:rsidRDefault="0025529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55291">
              <w:rPr>
                <w:rFonts w:eastAsiaTheme="minorEastAsia" w:cs="Times New Roman"/>
                <w:lang w:eastAsia="en-GB"/>
              </w:rPr>
              <w:t>2.4</w:t>
            </w:r>
          </w:p>
        </w:tc>
        <w:tc>
          <w:tcPr>
            <w:tcW w:w="7831" w:type="dxa"/>
          </w:tcPr>
          <w:p w14:paraId="5ED45ED8" w14:textId="677CB38D" w:rsidR="00255291" w:rsidRDefault="00255291" w:rsidP="00255291">
            <w:pPr>
              <w:overflowPunct/>
              <w:autoSpaceDE/>
              <w:autoSpaceDN/>
              <w:adjustRightInd/>
              <w:spacing w:after="160" w:line="259" w:lineRule="auto"/>
              <w:contextualSpacing/>
              <w:jc w:val="left"/>
              <w:textAlignment w:val="auto"/>
            </w:pPr>
            <w:r>
              <w:t>The joint SORP-making body had considered the possibility of using a different definition of ‘turnover’ in respect of one of the conditions of the Compan</w:t>
            </w:r>
            <w:r w:rsidR="000A1C6A">
              <w:t>ie</w:t>
            </w:r>
            <w:r>
              <w:t xml:space="preserve">s Act 2006 definitions of a ‘large’ company following a suggestion from one of the committee members. </w:t>
            </w:r>
          </w:p>
          <w:p w14:paraId="5A88AC59" w14:textId="77777777" w:rsidR="00255291" w:rsidRDefault="00255291" w:rsidP="00255291">
            <w:pPr>
              <w:overflowPunct/>
              <w:autoSpaceDE/>
              <w:autoSpaceDN/>
              <w:adjustRightInd/>
              <w:spacing w:after="160" w:line="259" w:lineRule="auto"/>
              <w:contextualSpacing/>
              <w:jc w:val="left"/>
              <w:textAlignment w:val="auto"/>
            </w:pPr>
          </w:p>
          <w:p w14:paraId="15505A6C" w14:textId="59A1F40F" w:rsidR="00255291" w:rsidRDefault="00255291" w:rsidP="00255291">
            <w:pPr>
              <w:overflowPunct/>
              <w:autoSpaceDE/>
              <w:autoSpaceDN/>
              <w:adjustRightInd/>
              <w:spacing w:after="160" w:line="259" w:lineRule="auto"/>
              <w:contextualSpacing/>
              <w:jc w:val="left"/>
              <w:textAlignment w:val="auto"/>
            </w:pPr>
            <w:r>
              <w:t xml:space="preserve">On reflection the joint SORP-making body was of the view that the definition included in </w:t>
            </w:r>
            <w:hyperlink r:id="rId8" w:history="1">
              <w:r w:rsidRPr="00820D5C">
                <w:rPr>
                  <w:rStyle w:val="Hyperlink"/>
                </w:rPr>
                <w:t>Information Sheet 3: The Companies (Miscellaneous Reporting) Regulations 2018 and UK Company Charities</w:t>
              </w:r>
            </w:hyperlink>
            <w:r>
              <w:t xml:space="preserve"> is an appropriate interpretation of the normal operating income of a charity and it was not minded to revisit the definition. </w:t>
            </w:r>
            <w:r w:rsidR="00E45AC3">
              <w:t>It</w:t>
            </w:r>
            <w:r w:rsidR="00820D5C">
              <w:t xml:space="preserve"> was </w:t>
            </w:r>
            <w:r>
              <w:t>considered that practitioners would need to take their own decisions on this interpretation</w:t>
            </w:r>
            <w:r w:rsidR="00E45AC3">
              <w:t xml:space="preserve"> by the joint SORP-making body</w:t>
            </w:r>
            <w:r>
              <w:t xml:space="preserve">. </w:t>
            </w:r>
          </w:p>
          <w:p w14:paraId="54302794" w14:textId="77777777" w:rsidR="00255291" w:rsidRPr="002C4056" w:rsidRDefault="00255291" w:rsidP="00255291">
            <w:pPr>
              <w:overflowPunct/>
              <w:autoSpaceDE/>
              <w:autoSpaceDN/>
              <w:adjustRightInd/>
              <w:spacing w:after="160" w:line="259" w:lineRule="auto"/>
              <w:contextualSpacing/>
              <w:jc w:val="left"/>
              <w:textAlignment w:val="auto"/>
              <w:rPr>
                <w:b/>
              </w:rPr>
            </w:pPr>
          </w:p>
        </w:tc>
        <w:tc>
          <w:tcPr>
            <w:tcW w:w="1524" w:type="dxa"/>
            <w:vAlign w:val="bottom"/>
          </w:tcPr>
          <w:p w14:paraId="566B38AC" w14:textId="77777777" w:rsidR="00255291" w:rsidRDefault="0025529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55291" w:rsidRPr="00E7339A" w14:paraId="0FEECABD" w14:textId="77777777" w:rsidTr="00917165">
        <w:tc>
          <w:tcPr>
            <w:tcW w:w="885" w:type="dxa"/>
          </w:tcPr>
          <w:p w14:paraId="2AF47A28" w14:textId="2990045F" w:rsidR="00255291" w:rsidRPr="00255291" w:rsidRDefault="0025529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2.5</w:t>
            </w:r>
          </w:p>
        </w:tc>
        <w:tc>
          <w:tcPr>
            <w:tcW w:w="7831" w:type="dxa"/>
          </w:tcPr>
          <w:p w14:paraId="15E703D1" w14:textId="77777777" w:rsidR="00255291" w:rsidRPr="00255291" w:rsidRDefault="00255291" w:rsidP="00255291">
            <w:pPr>
              <w:overflowPunct/>
              <w:autoSpaceDE/>
              <w:autoSpaceDN/>
              <w:adjustRightInd/>
              <w:spacing w:after="160" w:line="259" w:lineRule="auto"/>
              <w:contextualSpacing/>
              <w:jc w:val="left"/>
              <w:textAlignment w:val="auto"/>
              <w:rPr>
                <w:b/>
              </w:rPr>
            </w:pPr>
            <w:r w:rsidRPr="00255291">
              <w:rPr>
                <w:b/>
              </w:rPr>
              <w:t>Working group for smaller charities on the reporting requirements of the COVID-19 pandemic</w:t>
            </w:r>
          </w:p>
          <w:p w14:paraId="7FFF262C" w14:textId="77777777" w:rsidR="00255291" w:rsidRDefault="00255291" w:rsidP="00255291">
            <w:pPr>
              <w:overflowPunct/>
              <w:autoSpaceDE/>
              <w:autoSpaceDN/>
              <w:adjustRightInd/>
              <w:spacing w:after="160" w:line="259" w:lineRule="auto"/>
              <w:contextualSpacing/>
              <w:jc w:val="left"/>
              <w:textAlignment w:val="auto"/>
            </w:pPr>
          </w:p>
        </w:tc>
        <w:tc>
          <w:tcPr>
            <w:tcW w:w="1524" w:type="dxa"/>
            <w:vAlign w:val="bottom"/>
          </w:tcPr>
          <w:p w14:paraId="7A68576C" w14:textId="77777777" w:rsidR="00255291" w:rsidRDefault="0025529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4056" w:rsidRPr="00E7339A" w14:paraId="3F2CD6A9" w14:textId="77777777" w:rsidTr="00917165">
        <w:tc>
          <w:tcPr>
            <w:tcW w:w="885" w:type="dxa"/>
          </w:tcPr>
          <w:p w14:paraId="509548F1" w14:textId="1F94F1DD" w:rsidR="002C4056" w:rsidRPr="00255291" w:rsidRDefault="0025529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55291">
              <w:rPr>
                <w:rFonts w:eastAsiaTheme="minorEastAsia" w:cs="Times New Roman"/>
                <w:lang w:eastAsia="en-GB"/>
              </w:rPr>
              <w:t>2.6</w:t>
            </w:r>
          </w:p>
        </w:tc>
        <w:tc>
          <w:tcPr>
            <w:tcW w:w="7831" w:type="dxa"/>
          </w:tcPr>
          <w:p w14:paraId="0764172A" w14:textId="5550FA24" w:rsidR="00255291" w:rsidRDefault="00255291" w:rsidP="00255291">
            <w:pPr>
              <w:overflowPunct/>
              <w:autoSpaceDE/>
              <w:autoSpaceDN/>
              <w:adjustRightInd/>
              <w:spacing w:after="160" w:line="259" w:lineRule="auto"/>
              <w:contextualSpacing/>
              <w:jc w:val="left"/>
              <w:textAlignment w:val="auto"/>
            </w:pPr>
            <w:r>
              <w:t>The joint SORP-making body ha</w:t>
            </w:r>
            <w:r w:rsidR="00820D5C">
              <w:t>d</w:t>
            </w:r>
            <w:r>
              <w:t xml:space="preserve"> also reviewed the suggestion to establish a working group to consider the reporting requirements emanating from the COVID-19 pandemic </w:t>
            </w:r>
            <w:r w:rsidR="00820D5C">
              <w:t>(</w:t>
            </w:r>
            <w:r>
              <w:t>which could usefully focus on the needs of smaller charities</w:t>
            </w:r>
            <w:r w:rsidR="00820D5C">
              <w:t>)</w:t>
            </w:r>
            <w:r>
              <w:t xml:space="preserve">. The joint SORP-making body was of the view that these issues are implementation issues for </w:t>
            </w:r>
            <w:r w:rsidR="00820D5C">
              <w:t>accounts preparers</w:t>
            </w:r>
            <w:r>
              <w:t xml:space="preserve"> and not matters concerning interpretation of the SORP. A further proposal was to liaise with the ICAEW who may have existing materials for smaller </w:t>
            </w:r>
            <w:r w:rsidR="00E45AC3">
              <w:t>charities</w:t>
            </w:r>
            <w:r>
              <w:t>. The joint SORP-making body could include signposts to such work.</w:t>
            </w:r>
          </w:p>
          <w:p w14:paraId="5B7E6688" w14:textId="77777777" w:rsidR="002C4056" w:rsidRDefault="002C4056" w:rsidP="00255291">
            <w:pPr>
              <w:jc w:val="left"/>
            </w:pPr>
          </w:p>
          <w:p w14:paraId="4E7A877B" w14:textId="21D93CEA" w:rsidR="002C4056" w:rsidRDefault="002C4056" w:rsidP="00255291">
            <w:pPr>
              <w:jc w:val="left"/>
            </w:pPr>
            <w:r>
              <w:t xml:space="preserve">The Chair confirmed that if any materials were </w:t>
            </w:r>
            <w:proofErr w:type="gramStart"/>
            <w:r>
              <w:t>signposted</w:t>
            </w:r>
            <w:proofErr w:type="gramEnd"/>
            <w:r>
              <w:t xml:space="preserve"> </w:t>
            </w:r>
            <w:r w:rsidR="00820D5C">
              <w:t>they</w:t>
            </w:r>
            <w:r>
              <w:t xml:space="preserve"> would have</w:t>
            </w:r>
            <w:r w:rsidR="00820D5C">
              <w:t xml:space="preserve"> to be consistent with the joint SORP-</w:t>
            </w:r>
            <w:r>
              <w:t>making body’s position. It would also be important that the language and tone of any guidance would be consistent with that published by the joint SORP-making body.</w:t>
            </w:r>
          </w:p>
          <w:p w14:paraId="4AA1F5A0" w14:textId="77777777" w:rsidR="002C4056" w:rsidRDefault="002C4056" w:rsidP="00255291">
            <w:pPr>
              <w:jc w:val="left"/>
            </w:pPr>
          </w:p>
          <w:p w14:paraId="659FFDC6" w14:textId="63B15C31" w:rsidR="002C4056" w:rsidRDefault="002C4056" w:rsidP="00255291">
            <w:pPr>
              <w:jc w:val="left"/>
            </w:pPr>
            <w:r>
              <w:t>It was noted that many charities don’t have ICAEW members involved in their charity and would value guidance and endorsement of materials from the joint SORP-making body.</w:t>
            </w:r>
          </w:p>
          <w:p w14:paraId="3E6A6B44" w14:textId="77777777" w:rsidR="002C4056" w:rsidRDefault="002C4056" w:rsidP="00255291">
            <w:pPr>
              <w:jc w:val="left"/>
            </w:pPr>
          </w:p>
          <w:p w14:paraId="0A1C2610" w14:textId="10E2A7EC" w:rsidR="00820D5C" w:rsidRPr="00EB416B" w:rsidRDefault="00255291" w:rsidP="003D2F1F">
            <w:pPr>
              <w:jc w:val="left"/>
              <w:rPr>
                <w:b/>
              </w:rPr>
            </w:pPr>
            <w:r>
              <w:t xml:space="preserve">The Chair indicated that </w:t>
            </w:r>
            <w:r w:rsidR="002C4056" w:rsidRPr="00255291">
              <w:t>CIPFA</w:t>
            </w:r>
            <w:r>
              <w:t xml:space="preserve"> would </w:t>
            </w:r>
            <w:r w:rsidR="002C4056" w:rsidRPr="00255291">
              <w:t xml:space="preserve">request members to signpost emerging resources </w:t>
            </w:r>
            <w:r>
              <w:t>which provided relevant guidance</w:t>
            </w:r>
            <w:r w:rsidR="002C4056" w:rsidRPr="00255291">
              <w:t xml:space="preserve"> (</w:t>
            </w:r>
            <w:r w:rsidR="00820D5C">
              <w:t xml:space="preserve">SORP committee </w:t>
            </w:r>
            <w:r w:rsidR="002C4056" w:rsidRPr="00255291">
              <w:t xml:space="preserve">members </w:t>
            </w:r>
            <w:r w:rsidR="00820D5C">
              <w:t xml:space="preserve">were requested </w:t>
            </w:r>
            <w:r w:rsidR="002C4056" w:rsidRPr="00255291">
              <w:t>to be mindful whether they are adaptable for smaller charities).</w:t>
            </w:r>
          </w:p>
        </w:tc>
        <w:tc>
          <w:tcPr>
            <w:tcW w:w="1524" w:type="dxa"/>
            <w:vAlign w:val="bottom"/>
          </w:tcPr>
          <w:p w14:paraId="047F19E3" w14:textId="77777777"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1B10D7BC" w14:textId="77777777"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7030F899" w14:textId="77777777"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2EA65A40" w14:textId="77777777" w:rsidR="002F393E" w:rsidRDefault="002F393E" w:rsidP="003622EC">
            <w:pPr>
              <w:overflowPunct/>
              <w:autoSpaceDE/>
              <w:autoSpaceDN/>
              <w:adjustRightInd/>
              <w:spacing w:before="100" w:beforeAutospacing="1" w:after="120" w:line="276" w:lineRule="auto"/>
              <w:jc w:val="left"/>
              <w:textAlignment w:val="auto"/>
              <w:rPr>
                <w:rFonts w:eastAsiaTheme="minorEastAsia" w:cs="Times New Roman"/>
                <w:lang w:eastAsia="en-GB"/>
              </w:rPr>
            </w:pPr>
          </w:p>
          <w:p w14:paraId="3EE12257" w14:textId="77777777" w:rsidR="002F393E" w:rsidRDefault="002F393E" w:rsidP="003622EC">
            <w:pPr>
              <w:overflowPunct/>
              <w:autoSpaceDE/>
              <w:autoSpaceDN/>
              <w:adjustRightInd/>
              <w:spacing w:before="100" w:beforeAutospacing="1" w:after="120" w:line="276" w:lineRule="auto"/>
              <w:jc w:val="left"/>
              <w:textAlignment w:val="auto"/>
              <w:rPr>
                <w:rFonts w:eastAsiaTheme="minorEastAsia" w:cs="Times New Roman"/>
                <w:lang w:eastAsia="en-GB"/>
              </w:rPr>
            </w:pPr>
          </w:p>
          <w:p w14:paraId="5DEF3C52" w14:textId="77777777" w:rsidR="002F393E" w:rsidRDefault="002F393E" w:rsidP="003622EC">
            <w:pPr>
              <w:overflowPunct/>
              <w:autoSpaceDE/>
              <w:autoSpaceDN/>
              <w:adjustRightInd/>
              <w:spacing w:before="100" w:beforeAutospacing="1" w:after="120" w:line="276" w:lineRule="auto"/>
              <w:jc w:val="left"/>
              <w:textAlignment w:val="auto"/>
              <w:rPr>
                <w:rFonts w:eastAsiaTheme="minorEastAsia" w:cs="Times New Roman"/>
                <w:lang w:eastAsia="en-GB"/>
              </w:rPr>
            </w:pPr>
          </w:p>
          <w:p w14:paraId="3DE9F207" w14:textId="77777777" w:rsidR="002F393E" w:rsidRDefault="002F393E" w:rsidP="003622EC">
            <w:pPr>
              <w:overflowPunct/>
              <w:autoSpaceDE/>
              <w:autoSpaceDN/>
              <w:adjustRightInd/>
              <w:spacing w:before="100" w:beforeAutospacing="1" w:after="120" w:line="276" w:lineRule="auto"/>
              <w:jc w:val="left"/>
              <w:textAlignment w:val="auto"/>
              <w:rPr>
                <w:rFonts w:eastAsiaTheme="minorEastAsia" w:cs="Times New Roman"/>
                <w:lang w:eastAsia="en-GB"/>
              </w:rPr>
            </w:pPr>
          </w:p>
          <w:p w14:paraId="52F6C105" w14:textId="77777777" w:rsidR="002F393E" w:rsidRDefault="002F393E" w:rsidP="003622EC">
            <w:pPr>
              <w:overflowPunct/>
              <w:autoSpaceDE/>
              <w:autoSpaceDN/>
              <w:adjustRightInd/>
              <w:spacing w:before="100" w:beforeAutospacing="1" w:after="120" w:line="276" w:lineRule="auto"/>
              <w:jc w:val="left"/>
              <w:textAlignment w:val="auto"/>
              <w:rPr>
                <w:rFonts w:eastAsiaTheme="minorEastAsia" w:cs="Times New Roman"/>
                <w:lang w:eastAsia="en-GB"/>
              </w:rPr>
            </w:pPr>
          </w:p>
          <w:p w14:paraId="303D2FEF" w14:textId="77777777" w:rsidR="003622EC" w:rsidRPr="002F393E" w:rsidRDefault="003622EC" w:rsidP="003622EC">
            <w:pPr>
              <w:overflowPunct/>
              <w:autoSpaceDE/>
              <w:autoSpaceDN/>
              <w:adjustRightInd/>
              <w:spacing w:before="100" w:beforeAutospacing="1" w:after="120" w:line="276" w:lineRule="auto"/>
              <w:jc w:val="left"/>
              <w:textAlignment w:val="auto"/>
              <w:rPr>
                <w:rFonts w:eastAsiaTheme="minorEastAsia" w:cs="Times New Roman"/>
                <w:b/>
                <w:lang w:eastAsia="en-GB"/>
              </w:rPr>
            </w:pPr>
            <w:r w:rsidRPr="002F393E">
              <w:rPr>
                <w:rFonts w:eastAsiaTheme="minorEastAsia" w:cs="Times New Roman"/>
                <w:b/>
                <w:lang w:eastAsia="en-GB"/>
              </w:rPr>
              <w:t>CIPFA</w:t>
            </w:r>
          </w:p>
          <w:p w14:paraId="05C5DF48" w14:textId="77777777" w:rsidR="002C4056" w:rsidRDefault="002C4056" w:rsidP="003622EC">
            <w:pPr>
              <w:overflowPunct/>
              <w:autoSpaceDE/>
              <w:autoSpaceDN/>
              <w:adjustRightInd/>
              <w:spacing w:before="100" w:beforeAutospacing="1" w:after="120" w:line="276" w:lineRule="auto"/>
              <w:jc w:val="left"/>
              <w:textAlignment w:val="auto"/>
              <w:rPr>
                <w:rFonts w:eastAsiaTheme="minorEastAsia" w:cs="Times New Roman"/>
                <w:lang w:eastAsia="en-GB"/>
              </w:rPr>
            </w:pPr>
          </w:p>
          <w:p w14:paraId="74ECE57D" w14:textId="5D4C0287" w:rsidR="00820D5C" w:rsidRDefault="00820D5C" w:rsidP="003622EC">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D2F1F" w:rsidRPr="00E7339A" w14:paraId="2A58A96F" w14:textId="77777777" w:rsidTr="00917165">
        <w:tc>
          <w:tcPr>
            <w:tcW w:w="885" w:type="dxa"/>
          </w:tcPr>
          <w:p w14:paraId="74193B4E" w14:textId="2668C07F" w:rsidR="003D2F1F" w:rsidRPr="003D2F1F" w:rsidRDefault="003D2F1F"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sidRPr="003D2F1F">
              <w:rPr>
                <w:rFonts w:eastAsiaTheme="minorEastAsia" w:cs="Times New Roman"/>
                <w:b/>
                <w:lang w:eastAsia="en-GB"/>
              </w:rPr>
              <w:t>2.7</w:t>
            </w:r>
          </w:p>
        </w:tc>
        <w:tc>
          <w:tcPr>
            <w:tcW w:w="7831" w:type="dxa"/>
          </w:tcPr>
          <w:p w14:paraId="07050CCF" w14:textId="1BAD9251" w:rsidR="003D2F1F" w:rsidRPr="003D2F1F" w:rsidRDefault="003D2F1F" w:rsidP="003D2F1F">
            <w:pPr>
              <w:jc w:val="left"/>
              <w:rPr>
                <w:b/>
              </w:rPr>
            </w:pPr>
            <w:r w:rsidRPr="003D2F1F">
              <w:rPr>
                <w:b/>
              </w:rPr>
              <w:t>FRC Update</w:t>
            </w:r>
          </w:p>
        </w:tc>
        <w:tc>
          <w:tcPr>
            <w:tcW w:w="1524" w:type="dxa"/>
            <w:vAlign w:val="bottom"/>
          </w:tcPr>
          <w:p w14:paraId="67C92335" w14:textId="77777777" w:rsidR="003D2F1F" w:rsidRDefault="003D2F1F"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D2F1F" w:rsidRPr="00E7339A" w14:paraId="0B7F647C" w14:textId="77777777" w:rsidTr="00917165">
        <w:tc>
          <w:tcPr>
            <w:tcW w:w="885" w:type="dxa"/>
          </w:tcPr>
          <w:p w14:paraId="3FCB5791" w14:textId="75C7D903" w:rsidR="003D2F1F" w:rsidRDefault="003D2F1F"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2.8</w:t>
            </w:r>
          </w:p>
        </w:tc>
        <w:tc>
          <w:tcPr>
            <w:tcW w:w="7831" w:type="dxa"/>
          </w:tcPr>
          <w:p w14:paraId="0819AC5E" w14:textId="77777777" w:rsidR="003D2F1F" w:rsidRDefault="003D2F1F" w:rsidP="003D2F1F">
            <w:pPr>
              <w:jc w:val="left"/>
            </w:pPr>
            <w:r>
              <w:t>It was noted that t</w:t>
            </w:r>
            <w:r w:rsidRPr="00B6294E">
              <w:t>he FRC ha</w:t>
            </w:r>
            <w:r>
              <w:t>d</w:t>
            </w:r>
            <w:r w:rsidRPr="00B6294E">
              <w:t xml:space="preserve"> updated its guidance on </w:t>
            </w:r>
            <w:r>
              <w:t>the COVID-19 pandemic but this related more to bodies applying IFRS rather than FRS 102 though this could be read across to those bodies applying FRS 102.</w:t>
            </w:r>
          </w:p>
          <w:p w14:paraId="76EB295E" w14:textId="77777777" w:rsidR="003D2F1F" w:rsidRPr="00B6294E" w:rsidRDefault="003D2F1F" w:rsidP="003622EC">
            <w:pPr>
              <w:jc w:val="left"/>
            </w:pPr>
          </w:p>
        </w:tc>
        <w:tc>
          <w:tcPr>
            <w:tcW w:w="1524" w:type="dxa"/>
            <w:vAlign w:val="bottom"/>
          </w:tcPr>
          <w:p w14:paraId="369EF73B" w14:textId="77777777" w:rsidR="003D2F1F" w:rsidRDefault="003D2F1F"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622EC" w:rsidRPr="00E7339A" w14:paraId="773E65BB" w14:textId="77777777" w:rsidTr="00917165">
        <w:tc>
          <w:tcPr>
            <w:tcW w:w="885" w:type="dxa"/>
          </w:tcPr>
          <w:p w14:paraId="248B19BB" w14:textId="58314DC1" w:rsidR="003622EC" w:rsidRPr="00255291" w:rsidRDefault="003622EC"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2.</w:t>
            </w:r>
            <w:r w:rsidR="003D2F1F">
              <w:rPr>
                <w:rFonts w:eastAsiaTheme="minorEastAsia" w:cs="Times New Roman"/>
                <w:lang w:eastAsia="en-GB"/>
              </w:rPr>
              <w:t>9</w:t>
            </w:r>
          </w:p>
        </w:tc>
        <w:tc>
          <w:tcPr>
            <w:tcW w:w="7831" w:type="dxa"/>
          </w:tcPr>
          <w:p w14:paraId="06015188" w14:textId="7E479E0C" w:rsidR="003622EC" w:rsidRPr="00767E63" w:rsidRDefault="003622EC" w:rsidP="003622EC">
            <w:pPr>
              <w:jc w:val="left"/>
            </w:pPr>
            <w:r w:rsidRPr="00767E63">
              <w:t xml:space="preserve">The IASB </w:t>
            </w:r>
            <w:r w:rsidR="00767E63">
              <w:t xml:space="preserve">is </w:t>
            </w:r>
            <w:r w:rsidRPr="00767E63">
              <w:t xml:space="preserve">considering amendments to the leasing standard regarding rent waivers during the COVID-19 pandemic. </w:t>
            </w:r>
            <w:r w:rsidR="00767E63" w:rsidRPr="00912AD7">
              <w:t xml:space="preserve">The FRC is considering whether any action is required in relation to FRS 102. </w:t>
            </w:r>
            <w:r w:rsidRPr="00767E63">
              <w:t xml:space="preserve">This may be relevant to some charities/charity shops in receipt of discounted rents. </w:t>
            </w:r>
          </w:p>
          <w:p w14:paraId="0766E4BE" w14:textId="77777777" w:rsidR="003622EC" w:rsidRPr="00F97210" w:rsidRDefault="003622EC" w:rsidP="00255291">
            <w:pPr>
              <w:overflowPunct/>
              <w:autoSpaceDE/>
              <w:autoSpaceDN/>
              <w:adjustRightInd/>
              <w:spacing w:after="160" w:line="259" w:lineRule="auto"/>
              <w:contextualSpacing/>
              <w:jc w:val="left"/>
              <w:textAlignment w:val="auto"/>
              <w:rPr>
                <w:highlight w:val="yellow"/>
              </w:rPr>
            </w:pPr>
          </w:p>
        </w:tc>
        <w:tc>
          <w:tcPr>
            <w:tcW w:w="1524" w:type="dxa"/>
            <w:vAlign w:val="bottom"/>
          </w:tcPr>
          <w:p w14:paraId="1161FD48" w14:textId="77777777" w:rsidR="003622EC" w:rsidRDefault="003622EC"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622EC" w:rsidRPr="00E7339A" w14:paraId="01A86BF3" w14:textId="77777777" w:rsidTr="00917165">
        <w:tc>
          <w:tcPr>
            <w:tcW w:w="885" w:type="dxa"/>
          </w:tcPr>
          <w:p w14:paraId="6BBE99BE" w14:textId="449A8345" w:rsidR="003622EC" w:rsidRPr="00255291" w:rsidRDefault="003622EC"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lastRenderedPageBreak/>
              <w:t>2.</w:t>
            </w:r>
            <w:r w:rsidR="003D2F1F">
              <w:rPr>
                <w:rFonts w:eastAsiaTheme="minorEastAsia" w:cs="Times New Roman"/>
                <w:lang w:eastAsia="en-GB"/>
              </w:rPr>
              <w:t>10</w:t>
            </w:r>
          </w:p>
        </w:tc>
        <w:tc>
          <w:tcPr>
            <w:tcW w:w="7831" w:type="dxa"/>
          </w:tcPr>
          <w:p w14:paraId="76AAC042" w14:textId="77777777" w:rsidR="003622EC" w:rsidRDefault="003622EC" w:rsidP="00255291">
            <w:pPr>
              <w:overflowPunct/>
              <w:autoSpaceDE/>
              <w:autoSpaceDN/>
              <w:adjustRightInd/>
              <w:spacing w:after="160" w:line="259" w:lineRule="auto"/>
              <w:contextualSpacing/>
              <w:jc w:val="left"/>
              <w:textAlignment w:val="auto"/>
            </w:pPr>
            <w:r>
              <w:t>It was noted t</w:t>
            </w:r>
            <w:r w:rsidRPr="00B6294E">
              <w:t>he periodic review of FRS 102 is timetabled to commence in spring 2021.</w:t>
            </w:r>
          </w:p>
          <w:p w14:paraId="0A1D00AB" w14:textId="4343B46F" w:rsidR="003D2F1F" w:rsidRDefault="003D2F1F" w:rsidP="00255291">
            <w:pPr>
              <w:overflowPunct/>
              <w:autoSpaceDE/>
              <w:autoSpaceDN/>
              <w:adjustRightInd/>
              <w:spacing w:after="160" w:line="259" w:lineRule="auto"/>
              <w:contextualSpacing/>
              <w:jc w:val="left"/>
              <w:textAlignment w:val="auto"/>
            </w:pPr>
          </w:p>
        </w:tc>
        <w:tc>
          <w:tcPr>
            <w:tcW w:w="1524" w:type="dxa"/>
            <w:vAlign w:val="bottom"/>
          </w:tcPr>
          <w:p w14:paraId="15AF504E" w14:textId="77777777" w:rsidR="003622EC" w:rsidRDefault="003622EC"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4056" w:rsidRPr="00E7339A" w14:paraId="2821F01F" w14:textId="77777777" w:rsidTr="00917165">
        <w:trPr>
          <w:trHeight w:val="157"/>
        </w:trPr>
        <w:tc>
          <w:tcPr>
            <w:tcW w:w="885" w:type="dxa"/>
          </w:tcPr>
          <w:p w14:paraId="634F046F" w14:textId="738DD40C"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p>
        </w:tc>
        <w:tc>
          <w:tcPr>
            <w:tcW w:w="7831" w:type="dxa"/>
            <w:vAlign w:val="center"/>
          </w:tcPr>
          <w:p w14:paraId="6969F6D4" w14:textId="1C873ACE" w:rsidR="002C4056" w:rsidRPr="00983AB4" w:rsidDel="0064722C" w:rsidRDefault="002C4056" w:rsidP="00F010D7">
            <w:pPr>
              <w:spacing w:before="100" w:beforeAutospacing="1" w:after="120"/>
              <w:jc w:val="left"/>
              <w:rPr>
                <w:b/>
              </w:rPr>
            </w:pPr>
            <w:r>
              <w:rPr>
                <w:b/>
              </w:rPr>
              <w:t xml:space="preserve">Briefing from the </w:t>
            </w:r>
            <w:r w:rsidR="00F010D7">
              <w:rPr>
                <w:b/>
              </w:rPr>
              <w:t>C</w:t>
            </w:r>
            <w:r>
              <w:rPr>
                <w:b/>
              </w:rPr>
              <w:t xml:space="preserve">hairs regarding </w:t>
            </w:r>
            <w:r w:rsidR="00820D5C">
              <w:rPr>
                <w:b/>
              </w:rPr>
              <w:t xml:space="preserve">arranging meetings of </w:t>
            </w:r>
            <w:r>
              <w:rPr>
                <w:b/>
              </w:rPr>
              <w:t xml:space="preserve">the engagement strands and appointing convenors </w:t>
            </w:r>
          </w:p>
        </w:tc>
        <w:tc>
          <w:tcPr>
            <w:tcW w:w="1524" w:type="dxa"/>
            <w:vAlign w:val="center"/>
          </w:tcPr>
          <w:p w14:paraId="212F216C" w14:textId="77777777"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4056" w:rsidRPr="00E7339A" w14:paraId="7BF5C7ED" w14:textId="77777777" w:rsidTr="00917165">
        <w:trPr>
          <w:trHeight w:val="157"/>
        </w:trPr>
        <w:tc>
          <w:tcPr>
            <w:tcW w:w="885" w:type="dxa"/>
          </w:tcPr>
          <w:p w14:paraId="46420525" w14:textId="1052F81E" w:rsidR="002C4056" w:rsidRPr="001A2C43" w:rsidDel="003F243B"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1A2C43">
              <w:rPr>
                <w:rFonts w:eastAsiaTheme="minorEastAsia" w:cs="Times New Roman"/>
                <w:lang w:eastAsia="en-GB"/>
              </w:rPr>
              <w:t>3.1</w:t>
            </w:r>
          </w:p>
        </w:tc>
        <w:tc>
          <w:tcPr>
            <w:tcW w:w="7831" w:type="dxa"/>
            <w:vAlign w:val="center"/>
          </w:tcPr>
          <w:p w14:paraId="47D16AAB" w14:textId="360124E7" w:rsidR="002C4056" w:rsidRDefault="002C4056" w:rsidP="001A2C43">
            <w:pPr>
              <w:jc w:val="left"/>
            </w:pPr>
            <w:r>
              <w:t xml:space="preserve">The Chair updated the </w:t>
            </w:r>
            <w:r w:rsidR="00820D5C">
              <w:t>c</w:t>
            </w:r>
            <w:r>
              <w:t xml:space="preserve">ommittee </w:t>
            </w:r>
            <w:r w:rsidR="001A2C43">
              <w:t>on</w:t>
            </w:r>
            <w:r>
              <w:t xml:space="preserve"> developments </w:t>
            </w:r>
            <w:r w:rsidR="001A2C43">
              <w:t xml:space="preserve">following the last meeting </w:t>
            </w:r>
            <w:proofErr w:type="gramStart"/>
            <w:r>
              <w:t>with</w:t>
            </w:r>
            <w:r w:rsidR="001A2C43">
              <w:t xml:space="preserve"> regard to</w:t>
            </w:r>
            <w:proofErr w:type="gramEnd"/>
            <w:r>
              <w:t xml:space="preserve"> communication</w:t>
            </w:r>
            <w:r w:rsidR="001A2C43">
              <w:t xml:space="preserve"> </w:t>
            </w:r>
            <w:r>
              <w:t xml:space="preserve">with engagement strands and next steps in appointing convenors. The Chairs had looked at the </w:t>
            </w:r>
            <w:r w:rsidR="001A2C43">
              <w:t xml:space="preserve">bullet points in the report considered at that meeting on the role of the convenor. This was developed into </w:t>
            </w:r>
            <w:r>
              <w:t xml:space="preserve">a briefing document </w:t>
            </w:r>
            <w:r w:rsidR="000A1C6A">
              <w:t>to</w:t>
            </w:r>
            <w:r>
              <w:t xml:space="preserve"> be </w:t>
            </w:r>
            <w:r w:rsidR="001A2C43">
              <w:t>sent</w:t>
            </w:r>
            <w:r>
              <w:t xml:space="preserve"> to each engagement partner to determine whether they would be in interested in becoming a convenor.</w:t>
            </w:r>
          </w:p>
          <w:p w14:paraId="6DCC3348" w14:textId="77777777" w:rsidR="002C4056" w:rsidRPr="00983AB4" w:rsidDel="0064722C" w:rsidRDefault="002C4056" w:rsidP="002C4056">
            <w:pPr>
              <w:jc w:val="left"/>
              <w:rPr>
                <w:b/>
              </w:rPr>
            </w:pPr>
          </w:p>
        </w:tc>
        <w:tc>
          <w:tcPr>
            <w:tcW w:w="1524" w:type="dxa"/>
            <w:vAlign w:val="center"/>
          </w:tcPr>
          <w:p w14:paraId="4DD83F00" w14:textId="77777777"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4056" w:rsidRPr="00E7339A" w14:paraId="0D913A53" w14:textId="77777777" w:rsidTr="00917165">
        <w:trPr>
          <w:trHeight w:val="157"/>
        </w:trPr>
        <w:tc>
          <w:tcPr>
            <w:tcW w:w="885" w:type="dxa"/>
          </w:tcPr>
          <w:p w14:paraId="161F98C5" w14:textId="503DA6E6" w:rsidR="002C4056" w:rsidRPr="001A2C43" w:rsidDel="003F243B"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1A2C43">
              <w:rPr>
                <w:rFonts w:eastAsiaTheme="minorEastAsia" w:cs="Times New Roman"/>
                <w:lang w:eastAsia="en-GB"/>
              </w:rPr>
              <w:t>3.2</w:t>
            </w:r>
          </w:p>
        </w:tc>
        <w:tc>
          <w:tcPr>
            <w:tcW w:w="7831" w:type="dxa"/>
            <w:vAlign w:val="center"/>
          </w:tcPr>
          <w:p w14:paraId="5E4C72C3" w14:textId="269A43B5" w:rsidR="002C4056" w:rsidRDefault="002C4056" w:rsidP="001A2C43">
            <w:pPr>
              <w:jc w:val="left"/>
            </w:pPr>
            <w:r>
              <w:t xml:space="preserve">The Chairs had examined engagement across the various strands. </w:t>
            </w:r>
            <w:r w:rsidR="003D2F1F">
              <w:t>It was noted that the e</w:t>
            </w:r>
            <w:r>
              <w:t>ngagement</w:t>
            </w:r>
            <w:r w:rsidR="00820D5C">
              <w:t xml:space="preserve"> strands</w:t>
            </w:r>
            <w:r w:rsidR="003D2F1F">
              <w:t xml:space="preserve"> had been</w:t>
            </w:r>
            <w:r>
              <w:t xml:space="preserve"> discussed at the previous meeting, </w:t>
            </w:r>
            <w:r w:rsidR="00820D5C">
              <w:t>they were recognised</w:t>
            </w:r>
            <w:r w:rsidR="003D2F1F">
              <w:t xml:space="preserve"> as</w:t>
            </w:r>
            <w:r>
              <w:t xml:space="preserve"> highly variable in both numbers and stakeholders across each strand. </w:t>
            </w:r>
            <w:r w:rsidR="000A1C6A">
              <w:t xml:space="preserve">As a </w:t>
            </w:r>
            <w:proofErr w:type="gramStart"/>
            <w:r w:rsidR="000A1C6A">
              <w:t>result</w:t>
            </w:r>
            <w:proofErr w:type="gramEnd"/>
            <w:r w:rsidR="000A1C6A">
              <w:t xml:space="preserve"> i</w:t>
            </w:r>
            <w:r>
              <w:t xml:space="preserve">t </w:t>
            </w:r>
            <w:r w:rsidR="000A1C6A">
              <w:t xml:space="preserve">seemed sensible, </w:t>
            </w:r>
            <w:r>
              <w:t xml:space="preserve">at least in the initial stages, to </w:t>
            </w:r>
            <w:r w:rsidR="000A1C6A">
              <w:t>combine some</w:t>
            </w:r>
            <w:r>
              <w:t xml:space="preserve"> of the strands. To this end it </w:t>
            </w:r>
            <w:r w:rsidR="000A1C6A">
              <w:t>noted</w:t>
            </w:r>
            <w:r>
              <w:t xml:space="preserve"> </w:t>
            </w:r>
            <w:r w:rsidR="001A2C43">
              <w:t xml:space="preserve">that the following strands would </w:t>
            </w:r>
            <w:r w:rsidR="000A1C6A">
              <w:t xml:space="preserve">initially </w:t>
            </w:r>
            <w:r w:rsidR="001A2C43">
              <w:t>be combined:</w:t>
            </w:r>
          </w:p>
          <w:p w14:paraId="2E91B9BA" w14:textId="77777777" w:rsidR="002C4056" w:rsidRDefault="002C4056" w:rsidP="002C4056"/>
          <w:p w14:paraId="3CCCC940" w14:textId="14FE625F" w:rsidR="002C4056" w:rsidRPr="00B6294E" w:rsidRDefault="001A2C43" w:rsidP="001A2C43">
            <w:pPr>
              <w:pStyle w:val="ListParagraph"/>
              <w:numPr>
                <w:ilvl w:val="0"/>
                <w:numId w:val="42"/>
              </w:numPr>
              <w:ind w:left="317" w:hanging="283"/>
            </w:pPr>
            <w:r>
              <w:t>f</w:t>
            </w:r>
            <w:r w:rsidR="002C4056" w:rsidRPr="00B6294E">
              <w:t xml:space="preserve">unders </w:t>
            </w:r>
            <w:r>
              <w:t>and</w:t>
            </w:r>
            <w:r w:rsidR="002C4056" w:rsidRPr="00B6294E">
              <w:t xml:space="preserve"> donors with </w:t>
            </w:r>
            <w:r w:rsidR="000A1C6A">
              <w:t>g</w:t>
            </w:r>
            <w:r w:rsidR="000A1C6A" w:rsidRPr="00B6294E">
              <w:t xml:space="preserve">overnment </w:t>
            </w:r>
            <w:r w:rsidR="000A1C6A">
              <w:t>and</w:t>
            </w:r>
            <w:r w:rsidR="000A1C6A" w:rsidRPr="00B6294E">
              <w:t xml:space="preserve"> public bodies</w:t>
            </w:r>
            <w:r w:rsidR="000A1C6A">
              <w:t xml:space="preserve"> </w:t>
            </w:r>
          </w:p>
          <w:p w14:paraId="17516109" w14:textId="4DCB9506" w:rsidR="002C4056" w:rsidRPr="00B6294E" w:rsidRDefault="001A2C43" w:rsidP="001A2C43">
            <w:pPr>
              <w:pStyle w:val="ListParagraph"/>
              <w:numPr>
                <w:ilvl w:val="0"/>
                <w:numId w:val="42"/>
              </w:numPr>
              <w:ind w:left="317" w:hanging="283"/>
            </w:pPr>
            <w:r>
              <w:t>a</w:t>
            </w:r>
            <w:r w:rsidR="002C4056" w:rsidRPr="00B6294E">
              <w:t xml:space="preserve">cademics </w:t>
            </w:r>
            <w:r>
              <w:t>and</w:t>
            </w:r>
            <w:r w:rsidR="002C4056" w:rsidRPr="00B6294E">
              <w:t xml:space="preserve"> </w:t>
            </w:r>
            <w:r>
              <w:t xml:space="preserve">regulators with </w:t>
            </w:r>
            <w:r w:rsidR="000A1C6A">
              <w:t>p</w:t>
            </w:r>
            <w:r w:rsidR="000A1C6A" w:rsidRPr="00B6294E">
              <w:t>roxies for public interest</w:t>
            </w:r>
            <w:r w:rsidR="000A1C6A" w:rsidDel="000A1C6A">
              <w:t xml:space="preserve"> </w:t>
            </w:r>
          </w:p>
          <w:p w14:paraId="67899CCA" w14:textId="77777777" w:rsidR="002C4056" w:rsidRDefault="002C4056" w:rsidP="002C4056">
            <w:pPr>
              <w:pStyle w:val="ListParagraph"/>
            </w:pPr>
          </w:p>
          <w:p w14:paraId="7AB627EE" w14:textId="0905F03B" w:rsidR="002C4056" w:rsidRDefault="002C4056" w:rsidP="001A2C43">
            <w:pPr>
              <w:jc w:val="left"/>
            </w:pPr>
            <w:r>
              <w:t>Furtherm</w:t>
            </w:r>
            <w:r w:rsidR="001A2C43">
              <w:t>ore, for practical reasons the p</w:t>
            </w:r>
            <w:r>
              <w:t xml:space="preserve">rofessional, audit </w:t>
            </w:r>
            <w:r w:rsidR="001A2C43">
              <w:t>and</w:t>
            </w:r>
            <w:r>
              <w:t xml:space="preserve"> technical s</w:t>
            </w:r>
            <w:r w:rsidR="00E66E77">
              <w:t>tr</w:t>
            </w:r>
            <w:r>
              <w:t xml:space="preserve">ands </w:t>
            </w:r>
            <w:r w:rsidR="000A1C6A">
              <w:t>would</w:t>
            </w:r>
            <w:r>
              <w:t xml:space="preserve"> be split</w:t>
            </w:r>
            <w:r w:rsidR="001A2C43">
              <w:t xml:space="preserve"> </w:t>
            </w:r>
            <w:r w:rsidR="000A1C6A">
              <w:t xml:space="preserve">into two </w:t>
            </w:r>
            <w:r w:rsidR="001A2C43">
              <w:t xml:space="preserve">because there was </w:t>
            </w:r>
            <w:proofErr w:type="gramStart"/>
            <w:r w:rsidR="001A2C43">
              <w:t>a large number of</w:t>
            </w:r>
            <w:proofErr w:type="gramEnd"/>
            <w:r w:rsidR="001A2C43">
              <w:t xml:space="preserve"> volunteers in that strand. </w:t>
            </w:r>
          </w:p>
          <w:p w14:paraId="68799E20" w14:textId="77777777" w:rsidR="002C4056" w:rsidRDefault="002C4056" w:rsidP="002C4056"/>
          <w:p w14:paraId="51EF8364" w14:textId="6D376BB7" w:rsidR="002C4056" w:rsidRDefault="00604C47" w:rsidP="00E66E77">
            <w:pPr>
              <w:jc w:val="left"/>
            </w:pPr>
            <w:r>
              <w:t>As the work progresses</w:t>
            </w:r>
            <w:r w:rsidR="002C4056">
              <w:t xml:space="preserve"> there is likely to be further flexibility in how the strands operate. The model adopted is unlikely to remain the same all the way through the </w:t>
            </w:r>
            <w:r w:rsidR="00E66E77">
              <w:t xml:space="preserve">SORP development </w:t>
            </w:r>
            <w:r w:rsidR="002C4056">
              <w:t xml:space="preserve">process, and mixing the strands </w:t>
            </w:r>
            <w:r w:rsidR="00B61380">
              <w:t>is likely to</w:t>
            </w:r>
            <w:r w:rsidR="002C4056">
              <w:t xml:space="preserve"> become a feature of the process in order to enrich discussion.</w:t>
            </w:r>
          </w:p>
          <w:p w14:paraId="2804665F" w14:textId="730C0110" w:rsidR="002C4056" w:rsidRDefault="002C4056" w:rsidP="002C4056"/>
          <w:p w14:paraId="08E86CF8" w14:textId="0FF64D23" w:rsidR="008079D5" w:rsidRDefault="008079D5" w:rsidP="008079D5">
            <w:pPr>
              <w:jc w:val="left"/>
            </w:pPr>
            <w:r>
              <w:t>There are currently 69 individuals</w:t>
            </w:r>
            <w:r w:rsidR="000A1C6A">
              <w:t xml:space="preserve"> and organisations</w:t>
            </w:r>
            <w:r>
              <w:t xml:space="preserve"> who have identified the strands they wish to contribute </w:t>
            </w:r>
            <w:proofErr w:type="gramStart"/>
            <w:r>
              <w:t>to,</w:t>
            </w:r>
            <w:proofErr w:type="gramEnd"/>
            <w:r>
              <w:t xml:space="preserve"> it is possible that all of these may be able to contribute to more than one strand. </w:t>
            </w:r>
            <w:proofErr w:type="gramStart"/>
            <w:r>
              <w:t>So</w:t>
            </w:r>
            <w:proofErr w:type="gramEnd"/>
            <w:r>
              <w:t xml:space="preserve"> it is now important to understand how many participants would wish to contribute to more than one of the strands.</w:t>
            </w:r>
          </w:p>
          <w:p w14:paraId="55346DBF" w14:textId="77777777" w:rsidR="002C4056" w:rsidRPr="00983AB4" w:rsidDel="0064722C" w:rsidRDefault="002C4056" w:rsidP="002C4056">
            <w:pPr>
              <w:jc w:val="left"/>
              <w:rPr>
                <w:b/>
              </w:rPr>
            </w:pPr>
          </w:p>
        </w:tc>
        <w:tc>
          <w:tcPr>
            <w:tcW w:w="1524" w:type="dxa"/>
            <w:vAlign w:val="center"/>
          </w:tcPr>
          <w:p w14:paraId="57630A5B" w14:textId="77777777"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4056" w:rsidRPr="00E7339A" w14:paraId="03945E25" w14:textId="77777777" w:rsidTr="00917165">
        <w:trPr>
          <w:trHeight w:val="157"/>
        </w:trPr>
        <w:tc>
          <w:tcPr>
            <w:tcW w:w="885" w:type="dxa"/>
          </w:tcPr>
          <w:p w14:paraId="4DE4022D" w14:textId="1B829F94" w:rsidR="002C4056" w:rsidRPr="007B6D5A" w:rsidDel="003F243B"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7B6D5A">
              <w:rPr>
                <w:rFonts w:eastAsiaTheme="minorEastAsia" w:cs="Times New Roman"/>
                <w:lang w:eastAsia="en-GB"/>
              </w:rPr>
              <w:t>3.3</w:t>
            </w:r>
          </w:p>
        </w:tc>
        <w:tc>
          <w:tcPr>
            <w:tcW w:w="7831" w:type="dxa"/>
            <w:vAlign w:val="center"/>
          </w:tcPr>
          <w:p w14:paraId="40FAA1F5" w14:textId="4CAD52D8" w:rsidR="002C4056" w:rsidRDefault="00E66E77" w:rsidP="008079D5">
            <w:pPr>
              <w:jc w:val="left"/>
            </w:pPr>
            <w:r>
              <w:t xml:space="preserve">The Chairs have now written </w:t>
            </w:r>
            <w:r w:rsidR="002C4056">
              <w:t xml:space="preserve">to all who wanted </w:t>
            </w:r>
            <w:r w:rsidR="008079D5">
              <w:t>to contribute to the engagement strands providing them with an</w:t>
            </w:r>
            <w:r w:rsidR="002C4056">
              <w:t xml:space="preserve"> outline of the convenor role and how this </w:t>
            </w:r>
            <w:r w:rsidR="008079D5">
              <w:t xml:space="preserve">would </w:t>
            </w:r>
            <w:r w:rsidR="002C4056">
              <w:t>work</w:t>
            </w:r>
            <w:r w:rsidR="008079D5">
              <w:t xml:space="preserve"> </w:t>
            </w:r>
            <w:r w:rsidR="002C4056">
              <w:t>within the strands</w:t>
            </w:r>
            <w:r w:rsidR="008079D5">
              <w:t xml:space="preserve"> including the provision of support to the strands</w:t>
            </w:r>
            <w:r w:rsidR="002C4056">
              <w:t xml:space="preserve">. </w:t>
            </w:r>
          </w:p>
          <w:p w14:paraId="3D3F359C" w14:textId="77777777" w:rsidR="008079D5" w:rsidRDefault="008079D5" w:rsidP="008079D5">
            <w:pPr>
              <w:jc w:val="left"/>
            </w:pPr>
          </w:p>
          <w:p w14:paraId="73F1ADA0" w14:textId="4A91C175" w:rsidR="002C4056" w:rsidRDefault="002C4056" w:rsidP="008079D5">
            <w:pPr>
              <w:jc w:val="left"/>
            </w:pPr>
            <w:r>
              <w:t xml:space="preserve">The Chairs </w:t>
            </w:r>
            <w:r w:rsidR="008079D5">
              <w:t>have allowed</w:t>
            </w:r>
            <w:r>
              <w:t xml:space="preserve"> a short period to see who is interested in the convenor role and which other strands they may also be interested in.</w:t>
            </w:r>
          </w:p>
          <w:p w14:paraId="68A04740" w14:textId="22667F97" w:rsidR="002C4056" w:rsidRDefault="002C4056" w:rsidP="00E66E77">
            <w:pPr>
              <w:jc w:val="left"/>
            </w:pPr>
            <w:r>
              <w:t xml:space="preserve">Once the convenors for each grouping has been established then it is planned to hold a virtual meeting with the convenors to ensure they feel supported. The role may be </w:t>
            </w:r>
            <w:proofErr w:type="gramStart"/>
            <w:r>
              <w:t>appear</w:t>
            </w:r>
            <w:proofErr w:type="gramEnd"/>
            <w:r>
              <w:t xml:space="preserve"> quite daunting, and the Chairs </w:t>
            </w:r>
            <w:r w:rsidR="00E66E77">
              <w:t xml:space="preserve">are clear that they will need to ensure that support is </w:t>
            </w:r>
            <w:r>
              <w:t>give</w:t>
            </w:r>
            <w:r w:rsidR="00E66E77">
              <w:t xml:space="preserve">n to the convenors. </w:t>
            </w:r>
          </w:p>
          <w:p w14:paraId="3F3457F5" w14:textId="77777777" w:rsidR="002C4056" w:rsidRPr="00983AB4" w:rsidDel="0064722C" w:rsidRDefault="002C4056" w:rsidP="002C4056">
            <w:pPr>
              <w:jc w:val="left"/>
              <w:rPr>
                <w:b/>
              </w:rPr>
            </w:pPr>
          </w:p>
        </w:tc>
        <w:tc>
          <w:tcPr>
            <w:tcW w:w="1524" w:type="dxa"/>
            <w:vAlign w:val="center"/>
          </w:tcPr>
          <w:p w14:paraId="561F2326" w14:textId="77777777"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4056" w:rsidRPr="00E7339A" w14:paraId="157B127A" w14:textId="77777777" w:rsidTr="00917165">
        <w:trPr>
          <w:trHeight w:val="157"/>
        </w:trPr>
        <w:tc>
          <w:tcPr>
            <w:tcW w:w="885" w:type="dxa"/>
          </w:tcPr>
          <w:p w14:paraId="4B8B9C3D" w14:textId="2D808C17" w:rsidR="002C4056" w:rsidRPr="007B6D5A" w:rsidDel="003F243B"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7B6D5A">
              <w:rPr>
                <w:rFonts w:eastAsiaTheme="minorEastAsia" w:cs="Times New Roman"/>
                <w:lang w:eastAsia="en-GB"/>
              </w:rPr>
              <w:t>3.4</w:t>
            </w:r>
          </w:p>
        </w:tc>
        <w:tc>
          <w:tcPr>
            <w:tcW w:w="7831" w:type="dxa"/>
            <w:vAlign w:val="center"/>
          </w:tcPr>
          <w:p w14:paraId="41A20794" w14:textId="14ADCF6C" w:rsidR="002C4056" w:rsidRDefault="002C4056" w:rsidP="002C4056">
            <w:pPr>
              <w:ind w:left="-73"/>
              <w:jc w:val="left"/>
            </w:pPr>
            <w:r>
              <w:t xml:space="preserve">The Chairs </w:t>
            </w:r>
            <w:r w:rsidR="00265BA0">
              <w:t>sought views regarding the proposed approach and the following questions were raised</w:t>
            </w:r>
            <w:r w:rsidR="00A47DEF">
              <w:t xml:space="preserve"> by committee members</w:t>
            </w:r>
            <w:r w:rsidR="00265BA0">
              <w:t xml:space="preserve">: </w:t>
            </w:r>
          </w:p>
          <w:p w14:paraId="0C60BDEE" w14:textId="77777777" w:rsidR="002C4056" w:rsidRDefault="002C4056" w:rsidP="002C4056">
            <w:pPr>
              <w:ind w:left="-73"/>
              <w:jc w:val="left"/>
            </w:pPr>
          </w:p>
          <w:p w14:paraId="77939630" w14:textId="6B08C3E6" w:rsidR="002C4056" w:rsidRDefault="002C4056" w:rsidP="00265BA0">
            <w:pPr>
              <w:pStyle w:val="ListParagraph"/>
              <w:numPr>
                <w:ilvl w:val="0"/>
                <w:numId w:val="43"/>
              </w:numPr>
              <w:ind w:left="459" w:hanging="459"/>
            </w:pPr>
            <w:r>
              <w:t>How will selection be manage</w:t>
            </w:r>
            <w:r w:rsidR="00265BA0">
              <w:t>d</w:t>
            </w:r>
            <w:r>
              <w:t xml:space="preserve"> if more than one </w:t>
            </w:r>
            <w:r w:rsidR="00265BA0">
              <w:t>organisation/</w:t>
            </w:r>
            <w:r>
              <w:t xml:space="preserve">person puts themselves forward for the convenor </w:t>
            </w:r>
            <w:r w:rsidR="00265BA0">
              <w:t>of a</w:t>
            </w:r>
            <w:r>
              <w:t xml:space="preserve"> strand?</w:t>
            </w:r>
          </w:p>
          <w:p w14:paraId="1F18A870" w14:textId="77777777" w:rsidR="002C4056" w:rsidRDefault="002C4056" w:rsidP="002C4056">
            <w:pPr>
              <w:overflowPunct/>
              <w:autoSpaceDE/>
              <w:autoSpaceDN/>
              <w:adjustRightInd/>
              <w:spacing w:after="160" w:line="259" w:lineRule="auto"/>
              <w:ind w:left="360"/>
              <w:contextualSpacing/>
              <w:jc w:val="left"/>
              <w:textAlignment w:val="auto"/>
              <w:rPr>
                <w:i/>
              </w:rPr>
            </w:pPr>
          </w:p>
          <w:p w14:paraId="7CCF4B90" w14:textId="6C833618" w:rsidR="002C4056" w:rsidRPr="00265BA0" w:rsidRDefault="002C4056" w:rsidP="00265BA0">
            <w:pPr>
              <w:overflowPunct/>
              <w:autoSpaceDE/>
              <w:autoSpaceDN/>
              <w:adjustRightInd/>
              <w:spacing w:after="160" w:line="259" w:lineRule="auto"/>
              <w:ind w:left="459"/>
              <w:contextualSpacing/>
              <w:jc w:val="left"/>
              <w:textAlignment w:val="auto"/>
            </w:pPr>
            <w:r w:rsidRPr="00265BA0">
              <w:t>When considering candidates suitability</w:t>
            </w:r>
            <w:r w:rsidR="00912AD7">
              <w:t>,</w:t>
            </w:r>
            <w:r w:rsidRPr="00265BA0">
              <w:t xml:space="preserve"> the Chairs will be looking at the skills of that person in relation to the convenor profile. Specific criteria for this process ha</w:t>
            </w:r>
            <w:r w:rsidR="00F010D7">
              <w:t>ve</w:t>
            </w:r>
            <w:r w:rsidR="00265BA0">
              <w:t xml:space="preserve"> yet </w:t>
            </w:r>
            <w:r w:rsidR="00F97210">
              <w:t xml:space="preserve">to be </w:t>
            </w:r>
            <w:r w:rsidR="00E66E77">
              <w:t xml:space="preserve">established. The joint SORP-making body is, however, considering the need to develop a matrix to have a clear </w:t>
            </w:r>
            <w:r w:rsidR="00912AD7">
              <w:t>decision-making</w:t>
            </w:r>
            <w:r w:rsidR="00E66E77">
              <w:t xml:space="preserve"> process to make this choice.</w:t>
            </w:r>
          </w:p>
          <w:p w14:paraId="00C0485A" w14:textId="77777777" w:rsidR="002C4056" w:rsidRDefault="002C4056" w:rsidP="002C4056"/>
          <w:p w14:paraId="048A52A5" w14:textId="674B5F65" w:rsidR="002C4056" w:rsidRDefault="002C4056" w:rsidP="00E66E77">
            <w:pPr>
              <w:pStyle w:val="ListParagraph"/>
              <w:numPr>
                <w:ilvl w:val="0"/>
                <w:numId w:val="43"/>
              </w:numPr>
              <w:ind w:left="459" w:hanging="459"/>
            </w:pPr>
            <w:r>
              <w:t xml:space="preserve">Is there a risk that some richness of discussion may be lost from the </w:t>
            </w:r>
            <w:r w:rsidR="00E66E77">
              <w:t xml:space="preserve">audit and </w:t>
            </w:r>
            <w:r>
              <w:t>technical group by reducing the number of volunteers in the group</w:t>
            </w:r>
            <w:r w:rsidR="00D43143">
              <w:t>?</w:t>
            </w:r>
          </w:p>
          <w:p w14:paraId="4F1F2E3D" w14:textId="77777777" w:rsidR="002C4056" w:rsidRDefault="002C4056" w:rsidP="002C4056"/>
          <w:p w14:paraId="2D20DAAC" w14:textId="50E2F97F" w:rsidR="002C4056" w:rsidRDefault="00E66E77" w:rsidP="00E66E77">
            <w:pPr>
              <w:pStyle w:val="ListParagraph"/>
              <w:overflowPunct/>
              <w:autoSpaceDE/>
              <w:autoSpaceDN/>
              <w:adjustRightInd/>
              <w:spacing w:after="160" w:line="259" w:lineRule="auto"/>
              <w:ind w:left="459"/>
              <w:contextualSpacing/>
              <w:jc w:val="left"/>
              <w:textAlignment w:val="auto"/>
            </w:pPr>
            <w:r>
              <w:t xml:space="preserve">The Chair conceded that there is a possibility that this might be the case. However, </w:t>
            </w:r>
            <w:r w:rsidR="008C2888">
              <w:t>it was important to be</w:t>
            </w:r>
            <w:r w:rsidR="002C4056" w:rsidRPr="00E66E77">
              <w:t xml:space="preserve"> realistic about </w:t>
            </w:r>
            <w:r w:rsidR="008C2888">
              <w:t>the size of the strand and the dynamic of meetings i</w:t>
            </w:r>
            <w:r w:rsidR="000A1C6A">
              <w:t>.</w:t>
            </w:r>
            <w:r w:rsidR="008C2888">
              <w:t>e</w:t>
            </w:r>
            <w:r w:rsidR="000A1C6A">
              <w:t>.</w:t>
            </w:r>
            <w:r w:rsidR="008C2888">
              <w:t xml:space="preserve"> </w:t>
            </w:r>
            <w:r w:rsidR="002C4056" w:rsidRPr="00E66E77">
              <w:t>how many people you can have in a virtual or face to face situation. It is planned to split the group initially</w:t>
            </w:r>
            <w:r w:rsidR="008C2888">
              <w:t>. However</w:t>
            </w:r>
            <w:r w:rsidR="003D2F1F">
              <w:t>,</w:t>
            </w:r>
            <w:r w:rsidR="008C2888">
              <w:t xml:space="preserve"> this can be reviewed and re-examined over time to ensure that the debate at the engagement strand remains effective.</w:t>
            </w:r>
            <w:r w:rsidR="002C4056" w:rsidRPr="00E66E77">
              <w:t xml:space="preserve"> T</w:t>
            </w:r>
            <w:r w:rsidR="008C2888">
              <w:t>he engagement strand</w:t>
            </w:r>
            <w:r w:rsidR="002C4056" w:rsidRPr="00E66E77">
              <w:t xml:space="preserve"> approach has not been </w:t>
            </w:r>
            <w:r w:rsidR="00D43143">
              <w:t>adopted</w:t>
            </w:r>
            <w:r w:rsidR="002C4056" w:rsidRPr="00E66E77">
              <w:t xml:space="preserve"> before and if</w:t>
            </w:r>
            <w:r w:rsidR="00D43143">
              <w:t xml:space="preserve"> something isn’t working then there is an </w:t>
            </w:r>
            <w:r w:rsidR="002C4056" w:rsidRPr="00E66E77">
              <w:t>ability to change or flex things.</w:t>
            </w:r>
          </w:p>
          <w:p w14:paraId="31ECC631" w14:textId="77777777" w:rsidR="00206732" w:rsidRDefault="00206732" w:rsidP="00E66E77">
            <w:pPr>
              <w:pStyle w:val="ListParagraph"/>
              <w:overflowPunct/>
              <w:autoSpaceDE/>
              <w:autoSpaceDN/>
              <w:adjustRightInd/>
              <w:spacing w:after="160" w:line="259" w:lineRule="auto"/>
              <w:ind w:left="459"/>
              <w:contextualSpacing/>
              <w:jc w:val="left"/>
              <w:textAlignment w:val="auto"/>
            </w:pPr>
          </w:p>
          <w:p w14:paraId="79BB3716" w14:textId="00BF211F" w:rsidR="002C4056" w:rsidRPr="00F21AD2" w:rsidRDefault="00206732" w:rsidP="00604C47">
            <w:pPr>
              <w:pStyle w:val="ListParagraph"/>
              <w:overflowPunct/>
              <w:autoSpaceDE/>
              <w:autoSpaceDN/>
              <w:adjustRightInd/>
              <w:spacing w:after="160" w:line="259" w:lineRule="auto"/>
              <w:ind w:left="459"/>
              <w:contextualSpacing/>
              <w:jc w:val="left"/>
              <w:textAlignment w:val="auto"/>
              <w:rPr>
                <w:i/>
              </w:rPr>
            </w:pPr>
            <w:r>
              <w:t xml:space="preserve">The Chair commented that this approach was supported by the SORP governance review recommendation relating to the size of the committee which was 12. </w:t>
            </w:r>
            <w:r w:rsidR="00604C47">
              <w:t>Ex</w:t>
            </w:r>
            <w:r w:rsidR="00604C47" w:rsidRPr="00604C47">
              <w:t xml:space="preserve">perience shows more confident members do well in groups regardless of size, although this is not true of everyone else. There are about 23 </w:t>
            </w:r>
            <w:r w:rsidR="00767E63">
              <w:t>to</w:t>
            </w:r>
            <w:r w:rsidR="00767E63" w:rsidRPr="00604C47">
              <w:t xml:space="preserve"> </w:t>
            </w:r>
            <w:r w:rsidR="00604C47" w:rsidRPr="00604C47">
              <w:t xml:space="preserve">24 people in the audit or technical strand, which would be quite a substantial group. </w:t>
            </w:r>
          </w:p>
          <w:p w14:paraId="1E3D34D7" w14:textId="77777777" w:rsidR="002C4056" w:rsidRDefault="002C4056" w:rsidP="002C4056"/>
          <w:p w14:paraId="499149ED" w14:textId="67047F04" w:rsidR="002C4056" w:rsidRDefault="002C4056" w:rsidP="00604C47">
            <w:pPr>
              <w:pStyle w:val="ListParagraph"/>
              <w:numPr>
                <w:ilvl w:val="0"/>
                <w:numId w:val="43"/>
              </w:numPr>
              <w:ind w:left="459" w:hanging="459"/>
            </w:pPr>
            <w:r>
              <w:t>Has the uptake of volunteers for the convenor role been a</w:t>
            </w:r>
            <w:r w:rsidR="00604C47">
              <w:t>ffected by the COVID-19 pandemic</w:t>
            </w:r>
            <w:r w:rsidR="00D43143">
              <w:t>?</w:t>
            </w:r>
          </w:p>
          <w:p w14:paraId="3ADF6DB3" w14:textId="77777777" w:rsidR="002C4056" w:rsidRDefault="002C4056" w:rsidP="00604C47">
            <w:pPr>
              <w:pStyle w:val="ListParagraph"/>
              <w:ind w:left="459"/>
            </w:pPr>
          </w:p>
          <w:p w14:paraId="157A4B91" w14:textId="42C8BBA4" w:rsidR="002C4056" w:rsidRPr="00604C47" w:rsidRDefault="002C4056" w:rsidP="00604C47">
            <w:pPr>
              <w:pStyle w:val="ListParagraph"/>
              <w:overflowPunct/>
              <w:autoSpaceDE/>
              <w:autoSpaceDN/>
              <w:adjustRightInd/>
              <w:spacing w:after="160" w:line="259" w:lineRule="auto"/>
              <w:ind w:left="459"/>
              <w:contextualSpacing/>
              <w:jc w:val="left"/>
              <w:textAlignment w:val="auto"/>
            </w:pPr>
            <w:r w:rsidRPr="00604C47">
              <w:t xml:space="preserve">The Chairs have no information on this </w:t>
            </w:r>
            <w:proofErr w:type="gramStart"/>
            <w:r w:rsidRPr="00604C47">
              <w:t>at the moment</w:t>
            </w:r>
            <w:proofErr w:type="gramEnd"/>
            <w:r w:rsidRPr="00604C47">
              <w:t xml:space="preserve">. It will become clearer </w:t>
            </w:r>
            <w:r w:rsidR="00604C47">
              <w:t>over</w:t>
            </w:r>
            <w:r w:rsidRPr="00604C47">
              <w:t xml:space="preserve"> the course of the next week whether </w:t>
            </w:r>
            <w:r w:rsidR="00604C47">
              <w:t>the position of the original applicants for convenors of strands has changed</w:t>
            </w:r>
            <w:r w:rsidRPr="00604C47">
              <w:t>.</w:t>
            </w:r>
          </w:p>
          <w:p w14:paraId="25215036" w14:textId="77777777" w:rsidR="002C4056" w:rsidRDefault="002C4056" w:rsidP="002C4056">
            <w:pPr>
              <w:pStyle w:val="ListParagraph"/>
            </w:pPr>
          </w:p>
          <w:p w14:paraId="65CDD599" w14:textId="677E6AB7" w:rsidR="002C4056" w:rsidRDefault="002C4056" w:rsidP="00604C47">
            <w:pPr>
              <w:pStyle w:val="ListParagraph"/>
              <w:numPr>
                <w:ilvl w:val="0"/>
                <w:numId w:val="43"/>
              </w:numPr>
              <w:ind w:left="459" w:hanging="459"/>
            </w:pPr>
            <w:r>
              <w:t>What is the closing date to express and interest in the convenor role and when will decisions regarding the convenors be made?</w:t>
            </w:r>
          </w:p>
          <w:p w14:paraId="56A4A9C7" w14:textId="77777777" w:rsidR="002C4056" w:rsidRDefault="002C4056" w:rsidP="002C4056">
            <w:pPr>
              <w:pStyle w:val="ListParagraph"/>
            </w:pPr>
          </w:p>
          <w:p w14:paraId="7DF6716B" w14:textId="538C89FD" w:rsidR="002C4056" w:rsidRPr="00604C47" w:rsidRDefault="00604C47" w:rsidP="00604C47">
            <w:pPr>
              <w:pStyle w:val="ListParagraph"/>
              <w:overflowPunct/>
              <w:autoSpaceDE/>
              <w:autoSpaceDN/>
              <w:adjustRightInd/>
              <w:spacing w:after="160" w:line="259" w:lineRule="auto"/>
              <w:ind w:left="459"/>
              <w:contextualSpacing/>
              <w:jc w:val="left"/>
              <w:textAlignment w:val="auto"/>
            </w:pPr>
            <w:r>
              <w:t>The Chair confirmed that p</w:t>
            </w:r>
            <w:r w:rsidR="002C4056" w:rsidRPr="00604C47">
              <w:t xml:space="preserve">articipants have been given a week to consider whether they still wish to volunteer </w:t>
            </w:r>
            <w:r w:rsidR="00767E63">
              <w:t xml:space="preserve">to be a </w:t>
            </w:r>
            <w:r w:rsidR="002C4056" w:rsidRPr="00604C47">
              <w:t xml:space="preserve">convenor having </w:t>
            </w:r>
            <w:r>
              <w:t>received</w:t>
            </w:r>
            <w:r w:rsidR="002C4056" w:rsidRPr="00604C47">
              <w:t xml:space="preserve"> the brief. </w:t>
            </w:r>
            <w:r>
              <w:t>The date has yet to be</w:t>
            </w:r>
            <w:r w:rsidR="002C4056" w:rsidRPr="00604C47">
              <w:t xml:space="preserve"> fixed </w:t>
            </w:r>
            <w:r>
              <w:t xml:space="preserve">as to the timing of the Chairs’ </w:t>
            </w:r>
            <w:r w:rsidR="002C4056" w:rsidRPr="00604C47">
              <w:t>decision</w:t>
            </w:r>
            <w:r>
              <w:t xml:space="preserve">s on appointment. </w:t>
            </w:r>
            <w:r w:rsidR="00706CD6">
              <w:t xml:space="preserve">Plans are </w:t>
            </w:r>
            <w:r w:rsidR="002C4056" w:rsidRPr="00604C47">
              <w:t xml:space="preserve">to </w:t>
            </w:r>
            <w:proofErr w:type="gramStart"/>
            <w:r w:rsidR="002C4056" w:rsidRPr="00604C47">
              <w:t>make a decision</w:t>
            </w:r>
            <w:proofErr w:type="gramEnd"/>
            <w:r w:rsidR="002C4056" w:rsidRPr="00604C47">
              <w:t xml:space="preserve"> as soon as possible once the deadline has passed.</w:t>
            </w:r>
          </w:p>
          <w:p w14:paraId="44256D60" w14:textId="77777777" w:rsidR="002C4056" w:rsidRPr="00604C47" w:rsidRDefault="002C4056" w:rsidP="00604C47">
            <w:pPr>
              <w:pStyle w:val="ListParagraph"/>
              <w:overflowPunct/>
              <w:autoSpaceDE/>
              <w:autoSpaceDN/>
              <w:adjustRightInd/>
              <w:spacing w:after="160" w:line="259" w:lineRule="auto"/>
              <w:ind w:left="459"/>
              <w:contextualSpacing/>
              <w:jc w:val="left"/>
              <w:textAlignment w:val="auto"/>
            </w:pPr>
          </w:p>
          <w:p w14:paraId="696E234F" w14:textId="51968EAB" w:rsidR="00706CD6" w:rsidRDefault="00706CD6" w:rsidP="00604C47">
            <w:pPr>
              <w:pStyle w:val="ListParagraph"/>
              <w:overflowPunct/>
              <w:autoSpaceDE/>
              <w:autoSpaceDN/>
              <w:adjustRightInd/>
              <w:spacing w:after="160" w:line="259" w:lineRule="auto"/>
              <w:ind w:left="459"/>
              <w:contextualSpacing/>
              <w:jc w:val="left"/>
              <w:textAlignment w:val="auto"/>
            </w:pPr>
            <w:r>
              <w:t xml:space="preserve">The Chair confirmed that most of the emails to applicants to be convenors </w:t>
            </w:r>
            <w:r w:rsidR="00F97210">
              <w:t xml:space="preserve">were sent </w:t>
            </w:r>
            <w:r>
              <w:t xml:space="preserve">on 20 May </w:t>
            </w:r>
            <w:r w:rsidR="00D43143">
              <w:t xml:space="preserve">2020 </w:t>
            </w:r>
            <w:r>
              <w:t xml:space="preserve">with a small number of others being sent on 21 May </w:t>
            </w:r>
            <w:r w:rsidR="00D43143">
              <w:t xml:space="preserve">2020 </w:t>
            </w:r>
            <w:r>
              <w:t xml:space="preserve">though it was noted that all applicants received the same information. A comment was made that one member’s organisation appeared not to have received the email though it was acknowledged that this could be due to the volume of emails. The Chair confirmed that appropriate checks would be made. </w:t>
            </w:r>
          </w:p>
          <w:p w14:paraId="16959D0A" w14:textId="17EC1535" w:rsidR="00706CD6" w:rsidRDefault="00706CD6" w:rsidP="00A47DEF">
            <w:pPr>
              <w:pStyle w:val="ListParagraph"/>
              <w:overflowPunct/>
              <w:autoSpaceDE/>
              <w:autoSpaceDN/>
              <w:adjustRightInd/>
              <w:spacing w:after="160" w:line="259" w:lineRule="auto"/>
              <w:ind w:left="459"/>
              <w:contextualSpacing/>
              <w:jc w:val="left"/>
              <w:textAlignment w:val="auto"/>
            </w:pPr>
            <w:r>
              <w:lastRenderedPageBreak/>
              <w:t xml:space="preserve">It was recognised that the volume of emails and the impact of bank holiday may reduce the response rate. The Chairs confirmed that they would keep this under review and if the response rate is </w:t>
            </w:r>
            <w:proofErr w:type="gramStart"/>
            <w:r>
              <w:t>low</w:t>
            </w:r>
            <w:proofErr w:type="gramEnd"/>
            <w:r>
              <w:t xml:space="preserve"> they can consider extending the deadline. </w:t>
            </w:r>
          </w:p>
          <w:p w14:paraId="6AFB2897" w14:textId="77777777" w:rsidR="00A47DEF" w:rsidRDefault="00A47DEF" w:rsidP="00A47DEF">
            <w:pPr>
              <w:pStyle w:val="ListParagraph"/>
              <w:ind w:left="459"/>
              <w:jc w:val="left"/>
            </w:pPr>
          </w:p>
          <w:p w14:paraId="248839E2" w14:textId="29A91673" w:rsidR="002C4056" w:rsidRDefault="002C4056" w:rsidP="00A47DEF">
            <w:pPr>
              <w:pStyle w:val="ListParagraph"/>
              <w:numPr>
                <w:ilvl w:val="0"/>
                <w:numId w:val="43"/>
              </w:numPr>
              <w:ind w:left="459" w:hanging="459"/>
              <w:jc w:val="left"/>
            </w:pPr>
            <w:r>
              <w:t xml:space="preserve">When participants are interested in more than one </w:t>
            </w:r>
            <w:r w:rsidR="00A47DEF">
              <w:t xml:space="preserve">engagement </w:t>
            </w:r>
            <w:r>
              <w:t xml:space="preserve">strand </w:t>
            </w:r>
            <w:proofErr w:type="gramStart"/>
            <w:r w:rsidR="00D43143">
              <w:t>are</w:t>
            </w:r>
            <w:proofErr w:type="gramEnd"/>
            <w:r w:rsidR="00D43143">
              <w:t xml:space="preserve"> they asked to </w:t>
            </w:r>
            <w:r>
              <w:t>state a preference?</w:t>
            </w:r>
          </w:p>
          <w:p w14:paraId="6754A6FE" w14:textId="77777777" w:rsidR="002C4056" w:rsidRDefault="002C4056" w:rsidP="00A47DEF">
            <w:pPr>
              <w:pStyle w:val="ListParagraph"/>
              <w:ind w:left="459"/>
              <w:jc w:val="left"/>
            </w:pPr>
          </w:p>
          <w:p w14:paraId="7873400A" w14:textId="56CEF39F" w:rsidR="002C4056" w:rsidRPr="00706CD6" w:rsidRDefault="00706CD6" w:rsidP="00A47DEF">
            <w:pPr>
              <w:pStyle w:val="ListParagraph"/>
              <w:overflowPunct/>
              <w:autoSpaceDE/>
              <w:autoSpaceDN/>
              <w:adjustRightInd/>
              <w:spacing w:after="160" w:line="259" w:lineRule="auto"/>
              <w:ind w:left="459"/>
              <w:contextualSpacing/>
              <w:jc w:val="left"/>
              <w:textAlignment w:val="auto"/>
            </w:pPr>
            <w:r>
              <w:t>The Chair confirmed that they had not</w:t>
            </w:r>
            <w:r w:rsidR="00D43143">
              <w:t xml:space="preserve"> been requested to state a preference</w:t>
            </w:r>
            <w:r>
              <w:t xml:space="preserve">. This would allow </w:t>
            </w:r>
            <w:r w:rsidR="002C4056" w:rsidRPr="00706CD6">
              <w:t xml:space="preserve">interested participants to put themselves forward to be an engagement partner in a new strand. </w:t>
            </w:r>
          </w:p>
          <w:p w14:paraId="40171C2D" w14:textId="77777777" w:rsidR="002C4056" w:rsidRDefault="002C4056" w:rsidP="00A47DEF">
            <w:pPr>
              <w:pStyle w:val="ListParagraph"/>
              <w:jc w:val="left"/>
            </w:pPr>
          </w:p>
          <w:p w14:paraId="19214AC7" w14:textId="01AE170F" w:rsidR="002C4056" w:rsidRDefault="002C4056" w:rsidP="00A47DEF">
            <w:pPr>
              <w:pStyle w:val="ListParagraph"/>
              <w:numPr>
                <w:ilvl w:val="0"/>
                <w:numId w:val="43"/>
              </w:numPr>
              <w:ind w:left="459" w:hanging="459"/>
              <w:jc w:val="left"/>
            </w:pPr>
            <w:r>
              <w:t xml:space="preserve">Does merging </w:t>
            </w:r>
            <w:r w:rsidR="00A47DEF">
              <w:t>of the engagement</w:t>
            </w:r>
            <w:r>
              <w:t xml:space="preserve"> strands effect the geographical spread in any way?</w:t>
            </w:r>
          </w:p>
          <w:p w14:paraId="41BDD642" w14:textId="77777777" w:rsidR="002C4056" w:rsidRDefault="002C4056" w:rsidP="00A47DEF">
            <w:pPr>
              <w:jc w:val="left"/>
            </w:pPr>
          </w:p>
          <w:p w14:paraId="56BAD08E" w14:textId="56F658FC" w:rsidR="002C4056" w:rsidRPr="00706CD6" w:rsidRDefault="00A47DEF" w:rsidP="00A47DEF">
            <w:pPr>
              <w:pStyle w:val="ListParagraph"/>
              <w:overflowPunct/>
              <w:autoSpaceDE/>
              <w:autoSpaceDN/>
              <w:adjustRightInd/>
              <w:spacing w:after="160" w:line="259" w:lineRule="auto"/>
              <w:ind w:left="459"/>
              <w:contextualSpacing/>
              <w:jc w:val="left"/>
              <w:textAlignment w:val="auto"/>
            </w:pPr>
            <w:r>
              <w:t>The Chair indicated that i</w:t>
            </w:r>
            <w:r w:rsidR="002C4056" w:rsidRPr="00706CD6">
              <w:t xml:space="preserve">t is hoped that this doesn’t have an adverse </w:t>
            </w:r>
            <w:proofErr w:type="gramStart"/>
            <w:r w:rsidR="002C4056" w:rsidRPr="00706CD6">
              <w:t>effect</w:t>
            </w:r>
            <w:proofErr w:type="gramEnd"/>
            <w:r>
              <w:t xml:space="preserve"> but this would be kept under review</w:t>
            </w:r>
            <w:r w:rsidR="002C4056" w:rsidRPr="00706CD6">
              <w:t xml:space="preserve">. </w:t>
            </w:r>
            <w:r>
              <w:t xml:space="preserve">The current approach to meeting virtually should substantially mitigate against any geographical issues. </w:t>
            </w:r>
            <w:r w:rsidR="002C4056" w:rsidRPr="00706CD6">
              <w:t xml:space="preserve"> </w:t>
            </w:r>
          </w:p>
          <w:p w14:paraId="45F5B53D" w14:textId="77777777" w:rsidR="002C4056" w:rsidRPr="00983AB4" w:rsidDel="0064722C" w:rsidRDefault="002C4056" w:rsidP="002C4056">
            <w:pPr>
              <w:jc w:val="left"/>
              <w:rPr>
                <w:b/>
              </w:rPr>
            </w:pPr>
          </w:p>
        </w:tc>
        <w:tc>
          <w:tcPr>
            <w:tcW w:w="1524" w:type="dxa"/>
            <w:vAlign w:val="center"/>
          </w:tcPr>
          <w:p w14:paraId="7E36C045" w14:textId="77777777"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4056" w:rsidRPr="00E7339A" w14:paraId="03BED76A" w14:textId="77777777" w:rsidTr="00917165">
        <w:trPr>
          <w:trHeight w:val="157"/>
        </w:trPr>
        <w:tc>
          <w:tcPr>
            <w:tcW w:w="885" w:type="dxa"/>
          </w:tcPr>
          <w:p w14:paraId="2C9D4559" w14:textId="4B5AA0A6" w:rsidR="002C4056" w:rsidDel="003F243B" w:rsidRDefault="002C4056"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lastRenderedPageBreak/>
              <w:t>4</w:t>
            </w:r>
          </w:p>
        </w:tc>
        <w:tc>
          <w:tcPr>
            <w:tcW w:w="7831" w:type="dxa"/>
            <w:vAlign w:val="center"/>
          </w:tcPr>
          <w:p w14:paraId="287A2932" w14:textId="13C36AC3" w:rsidR="002C4056" w:rsidRPr="007A6260" w:rsidRDefault="00062F71" w:rsidP="00062F71">
            <w:pPr>
              <w:spacing w:before="100" w:beforeAutospacing="1" w:after="120"/>
              <w:jc w:val="left"/>
              <w:rPr>
                <w:b/>
              </w:rPr>
            </w:pPr>
            <w:r>
              <w:rPr>
                <w:b/>
              </w:rPr>
              <w:t>I</w:t>
            </w:r>
            <w:r w:rsidR="002C4056">
              <w:rPr>
                <w:b/>
              </w:rPr>
              <w:t xml:space="preserve">nduction </w:t>
            </w:r>
            <w:r>
              <w:rPr>
                <w:b/>
              </w:rPr>
              <w:t>a</w:t>
            </w:r>
            <w:r w:rsidR="002C4056">
              <w:rPr>
                <w:b/>
              </w:rPr>
              <w:t>rrangements</w:t>
            </w:r>
          </w:p>
        </w:tc>
        <w:tc>
          <w:tcPr>
            <w:tcW w:w="1524" w:type="dxa"/>
            <w:vAlign w:val="center"/>
          </w:tcPr>
          <w:p w14:paraId="718B300A" w14:textId="77777777" w:rsidR="002C4056" w:rsidRDefault="002C405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25A52" w:rsidRPr="00E7339A" w14:paraId="1784A16C" w14:textId="77777777" w:rsidTr="00917165">
        <w:trPr>
          <w:trHeight w:val="157"/>
        </w:trPr>
        <w:tc>
          <w:tcPr>
            <w:tcW w:w="885" w:type="dxa"/>
          </w:tcPr>
          <w:p w14:paraId="46B82803" w14:textId="371264C5" w:rsidR="00B25A52" w:rsidRDefault="00B25A52"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sidRPr="002F393E">
              <w:rPr>
                <w:rFonts w:eastAsiaTheme="minorEastAsia" w:cs="Times New Roman"/>
                <w:lang w:eastAsia="en-GB"/>
              </w:rPr>
              <w:t>4.1</w:t>
            </w:r>
          </w:p>
        </w:tc>
        <w:tc>
          <w:tcPr>
            <w:tcW w:w="7831" w:type="dxa"/>
            <w:vAlign w:val="center"/>
          </w:tcPr>
          <w:p w14:paraId="0A3F3951" w14:textId="50E1A999" w:rsidR="003D2F1F" w:rsidRDefault="00B25A52" w:rsidP="008D3306">
            <w:pPr>
              <w:jc w:val="left"/>
            </w:pPr>
            <w:r>
              <w:t xml:space="preserve">The Chair informed the committee that following the discussion on induction materials at its March 2020 meeting they were currently being developed. The induction materials would be issued to committee members over the summer period. In the </w:t>
            </w:r>
            <w:proofErr w:type="gramStart"/>
            <w:r>
              <w:t>meanwhile</w:t>
            </w:r>
            <w:proofErr w:type="gramEnd"/>
            <w:r>
              <w:t xml:space="preserve"> if members considered they needed any specific support</w:t>
            </w:r>
            <w:r w:rsidR="0014446D">
              <w:t>, they</w:t>
            </w:r>
            <w:r>
              <w:t xml:space="preserve"> were invited to contact CIPFA </w:t>
            </w:r>
            <w:r w:rsidR="00D43143">
              <w:t xml:space="preserve">who </w:t>
            </w:r>
            <w:r>
              <w:t>would arrange a video catch-up.</w:t>
            </w:r>
          </w:p>
          <w:p w14:paraId="21E3DEBF" w14:textId="57FFC541" w:rsidR="008D3306" w:rsidRPr="003D2F1F" w:rsidRDefault="008D3306" w:rsidP="008D3306">
            <w:pPr>
              <w:jc w:val="left"/>
            </w:pPr>
          </w:p>
        </w:tc>
        <w:tc>
          <w:tcPr>
            <w:tcW w:w="1524" w:type="dxa"/>
            <w:vAlign w:val="center"/>
          </w:tcPr>
          <w:p w14:paraId="3DE50F31" w14:textId="300AB806" w:rsidR="00B25A52" w:rsidRPr="00AE69B6" w:rsidRDefault="00B25A52" w:rsidP="002C4056">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AE69B6">
              <w:rPr>
                <w:rFonts w:eastAsiaTheme="minorEastAsia" w:cs="Times New Roman"/>
                <w:b/>
                <w:bCs/>
                <w:lang w:eastAsia="en-GB"/>
              </w:rPr>
              <w:t>Committee</w:t>
            </w:r>
          </w:p>
        </w:tc>
      </w:tr>
      <w:tr w:rsidR="00B25A52" w:rsidRPr="00E7339A" w14:paraId="23ED34F7" w14:textId="77777777" w:rsidTr="00917165">
        <w:trPr>
          <w:trHeight w:val="157"/>
        </w:trPr>
        <w:tc>
          <w:tcPr>
            <w:tcW w:w="885" w:type="dxa"/>
          </w:tcPr>
          <w:p w14:paraId="0DFEB5C7" w14:textId="52F11AD0" w:rsidR="00B25A52" w:rsidRDefault="00B25A52"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sidRPr="002F393E">
              <w:rPr>
                <w:rFonts w:eastAsiaTheme="minorEastAsia" w:cs="Times New Roman"/>
                <w:lang w:eastAsia="en-GB"/>
              </w:rPr>
              <w:t>4.2</w:t>
            </w:r>
          </w:p>
        </w:tc>
        <w:tc>
          <w:tcPr>
            <w:tcW w:w="7831" w:type="dxa"/>
            <w:vAlign w:val="center"/>
          </w:tcPr>
          <w:p w14:paraId="17B6B254" w14:textId="7C34345C" w:rsidR="00B25A52" w:rsidRDefault="00B25A52" w:rsidP="003D2F1F">
            <w:pPr>
              <w:jc w:val="left"/>
            </w:pPr>
            <w:r>
              <w:t xml:space="preserve">Committee members were also invited to </w:t>
            </w:r>
            <w:r w:rsidR="00D43143">
              <w:t xml:space="preserve">submit </w:t>
            </w:r>
            <w:r>
              <w:t>any suggestions for future</w:t>
            </w:r>
            <w:r w:rsidR="00D43143">
              <w:t xml:space="preserve"> agenda items. </w:t>
            </w:r>
            <w:r>
              <w:t>The Chairs</w:t>
            </w:r>
            <w:r w:rsidR="00D43143">
              <w:t xml:space="preserve"> would </w:t>
            </w:r>
            <w:r>
              <w:t>welcome presentations in the form of reports or verbal items.</w:t>
            </w:r>
          </w:p>
          <w:p w14:paraId="7F9059B9" w14:textId="1942DD68" w:rsidR="003D2F1F" w:rsidRPr="003D2F1F" w:rsidRDefault="003D2F1F" w:rsidP="003D2F1F">
            <w:pPr>
              <w:jc w:val="left"/>
            </w:pPr>
          </w:p>
        </w:tc>
        <w:tc>
          <w:tcPr>
            <w:tcW w:w="1524" w:type="dxa"/>
            <w:vAlign w:val="center"/>
          </w:tcPr>
          <w:p w14:paraId="5FCF0484" w14:textId="10018707" w:rsidR="00B25A52" w:rsidRPr="00AE69B6" w:rsidRDefault="00B25A52" w:rsidP="002C4056">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AE69B6">
              <w:rPr>
                <w:rFonts w:eastAsiaTheme="minorEastAsia" w:cs="Times New Roman"/>
                <w:b/>
                <w:bCs/>
                <w:lang w:eastAsia="en-GB"/>
              </w:rPr>
              <w:t>Committee</w:t>
            </w:r>
          </w:p>
        </w:tc>
      </w:tr>
      <w:tr w:rsidR="00B25A52" w:rsidRPr="00E7339A" w14:paraId="58159C11" w14:textId="77777777" w:rsidTr="00917165">
        <w:trPr>
          <w:trHeight w:val="157"/>
        </w:trPr>
        <w:tc>
          <w:tcPr>
            <w:tcW w:w="885" w:type="dxa"/>
          </w:tcPr>
          <w:p w14:paraId="44E5BFEE" w14:textId="64B24442" w:rsidR="00B25A52" w:rsidRDefault="00B25A52"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w:t>
            </w:r>
          </w:p>
        </w:tc>
        <w:tc>
          <w:tcPr>
            <w:tcW w:w="7831" w:type="dxa"/>
            <w:vAlign w:val="center"/>
          </w:tcPr>
          <w:p w14:paraId="3D00EF05" w14:textId="25A5CCE5" w:rsidR="00B25A52" w:rsidRDefault="00B25A52" w:rsidP="00062F71">
            <w:pPr>
              <w:spacing w:before="100" w:beforeAutospacing="1" w:after="120"/>
              <w:jc w:val="left"/>
              <w:rPr>
                <w:b/>
              </w:rPr>
            </w:pPr>
            <w:r>
              <w:rPr>
                <w:b/>
              </w:rPr>
              <w:t>Call for research</w:t>
            </w:r>
          </w:p>
        </w:tc>
        <w:tc>
          <w:tcPr>
            <w:tcW w:w="1524" w:type="dxa"/>
            <w:vAlign w:val="center"/>
          </w:tcPr>
          <w:p w14:paraId="67DE5952" w14:textId="77777777" w:rsidR="00B25A52" w:rsidRDefault="00B25A52"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F393E" w:rsidRPr="00E7339A" w14:paraId="30FAE6CF" w14:textId="77777777" w:rsidTr="00917165">
        <w:trPr>
          <w:trHeight w:val="157"/>
        </w:trPr>
        <w:tc>
          <w:tcPr>
            <w:tcW w:w="885" w:type="dxa"/>
          </w:tcPr>
          <w:p w14:paraId="7DDAB13E" w14:textId="220CA1C0" w:rsidR="002F393E" w:rsidRPr="00D43143" w:rsidDel="00425C28"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r w:rsidRPr="00D43143">
              <w:rPr>
                <w:rFonts w:eastAsiaTheme="minorEastAsia" w:cs="Times New Roman"/>
                <w:lang w:eastAsia="en-GB"/>
              </w:rPr>
              <w:t>5.1</w:t>
            </w:r>
          </w:p>
        </w:tc>
        <w:tc>
          <w:tcPr>
            <w:tcW w:w="7831" w:type="dxa"/>
          </w:tcPr>
          <w:p w14:paraId="726B1653" w14:textId="40243AB1" w:rsidR="002F393E" w:rsidRPr="00B6294E" w:rsidRDefault="002F393E" w:rsidP="00DE04FC">
            <w:pPr>
              <w:jc w:val="left"/>
            </w:pPr>
            <w:r w:rsidRPr="00B6294E">
              <w:t>The October meeting will include a</w:t>
            </w:r>
            <w:r w:rsidR="00DE04FC">
              <w:t>n item</w:t>
            </w:r>
            <w:r w:rsidRPr="00B6294E">
              <w:t xml:space="preserve"> </w:t>
            </w:r>
            <w:r w:rsidR="00D43143">
              <w:t xml:space="preserve">on </w:t>
            </w:r>
            <w:r w:rsidRPr="00B6294E">
              <w:t xml:space="preserve">research. CCEW will be looking at previous reviews </w:t>
            </w:r>
            <w:r w:rsidR="000A1C6A">
              <w:t xml:space="preserve">of charity reports and accounts </w:t>
            </w:r>
            <w:r w:rsidRPr="00B6294E">
              <w:t xml:space="preserve">conducted with an interest to identifying any ways in which the SORP may be reshaped. </w:t>
            </w:r>
            <w:r w:rsidR="00602D7B">
              <w:t xml:space="preserve">It is anticipated that the agenda item </w:t>
            </w:r>
            <w:r w:rsidRPr="00B6294E">
              <w:t>will</w:t>
            </w:r>
            <w:r w:rsidR="00602D7B">
              <w:t xml:space="preserve"> include</w:t>
            </w:r>
            <w:r w:rsidRPr="00B6294E">
              <w:t xml:space="preserve"> a </w:t>
            </w:r>
            <w:proofErr w:type="gramStart"/>
            <w:r w:rsidRPr="00B6294E">
              <w:t>15 minute</w:t>
            </w:r>
            <w:proofErr w:type="gramEnd"/>
            <w:r w:rsidRPr="00B6294E">
              <w:t xml:space="preserve"> </w:t>
            </w:r>
            <w:r w:rsidR="00602D7B">
              <w:t>PowerPoint</w:t>
            </w:r>
            <w:r w:rsidRPr="00B6294E">
              <w:t xml:space="preserve"> presentation of the findings.</w:t>
            </w:r>
          </w:p>
          <w:p w14:paraId="664E9D6F" w14:textId="77777777" w:rsidR="002F393E" w:rsidRPr="00B6294E" w:rsidRDefault="002F393E" w:rsidP="002F393E"/>
          <w:p w14:paraId="3522AC30" w14:textId="7D089199" w:rsidR="002F393E" w:rsidRDefault="002F393E" w:rsidP="00602D7B">
            <w:pPr>
              <w:jc w:val="left"/>
            </w:pPr>
            <w:r w:rsidRPr="00B6294E">
              <w:t xml:space="preserve">Members </w:t>
            </w:r>
            <w:r w:rsidR="00DF48AC">
              <w:t xml:space="preserve">were </w:t>
            </w:r>
            <w:r w:rsidRPr="00B6294E">
              <w:t xml:space="preserve">also invited to </w:t>
            </w:r>
            <w:r w:rsidR="00B008B4">
              <w:t xml:space="preserve">put forward any research they were aware </w:t>
            </w:r>
            <w:r w:rsidR="00D43143">
              <w:t>of</w:t>
            </w:r>
            <w:r w:rsidRPr="00B6294E">
              <w:t xml:space="preserve"> regarding charity/not for profit financial reporting.</w:t>
            </w:r>
            <w:r w:rsidR="00B008B4">
              <w:t xml:space="preserve"> Members who wished to do this were requested to provide a short presentation or a paper to summarise the research. </w:t>
            </w:r>
            <w:r w:rsidRPr="00B6294E">
              <w:t xml:space="preserve"> </w:t>
            </w:r>
          </w:p>
          <w:p w14:paraId="5869AFC1" w14:textId="77777777" w:rsidR="00B008B4" w:rsidRPr="00B6294E" w:rsidRDefault="00B008B4" w:rsidP="00602D7B">
            <w:pPr>
              <w:jc w:val="left"/>
            </w:pPr>
          </w:p>
          <w:p w14:paraId="6088D20E" w14:textId="525D57CC" w:rsidR="002F393E" w:rsidRPr="00B6294E" w:rsidRDefault="00B008B4" w:rsidP="008D3306">
            <w:pPr>
              <w:jc w:val="left"/>
            </w:pPr>
            <w:r>
              <w:t>The October discussions on research should enable the</w:t>
            </w:r>
            <w:r w:rsidR="002F393E" w:rsidRPr="00B6294E">
              <w:t xml:space="preserve"> committee </w:t>
            </w:r>
            <w:r>
              <w:t xml:space="preserve">to </w:t>
            </w:r>
            <w:r w:rsidRPr="00B6294E">
              <w:t>identify</w:t>
            </w:r>
            <w:r>
              <w:t xml:space="preserve"> any </w:t>
            </w:r>
            <w:r w:rsidR="002F393E" w:rsidRPr="00B6294E">
              <w:t xml:space="preserve">themes and topics </w:t>
            </w:r>
            <w:r>
              <w:t>on the development of the SORP and charity reporting</w:t>
            </w:r>
            <w:r w:rsidR="002F393E" w:rsidRPr="00B6294E">
              <w:t xml:space="preserve">. </w:t>
            </w:r>
          </w:p>
          <w:p w14:paraId="241B009C" w14:textId="77777777" w:rsidR="002F393E" w:rsidRPr="00B6294E" w:rsidRDefault="002F393E" w:rsidP="002F393E"/>
          <w:p w14:paraId="08351AB0" w14:textId="53239B8E" w:rsidR="002F393E" w:rsidRPr="00B6294E" w:rsidRDefault="00B008B4" w:rsidP="002F393E">
            <w:r>
              <w:t xml:space="preserve">If members wish to present any research to the October </w:t>
            </w:r>
            <w:proofErr w:type="gramStart"/>
            <w:r>
              <w:t>meeting</w:t>
            </w:r>
            <w:proofErr w:type="gramEnd"/>
            <w:r>
              <w:t xml:space="preserve"> they were requested </w:t>
            </w:r>
            <w:r w:rsidR="00AE69B6">
              <w:t>to signal</w:t>
            </w:r>
            <w:r>
              <w:t xml:space="preserve"> this by September</w:t>
            </w:r>
            <w:r w:rsidR="002F393E" w:rsidRPr="00B6294E">
              <w:t>.</w:t>
            </w:r>
          </w:p>
          <w:p w14:paraId="2FD0A723" w14:textId="77777777" w:rsidR="002F393E" w:rsidRPr="00B6294E" w:rsidRDefault="002F393E" w:rsidP="002F393E"/>
          <w:p w14:paraId="3D48B3A5" w14:textId="64486740" w:rsidR="002F393E" w:rsidRPr="00B6294E" w:rsidRDefault="002F393E" w:rsidP="00B008B4">
            <w:pPr>
              <w:jc w:val="left"/>
            </w:pPr>
            <w:r w:rsidRPr="00B6294E">
              <w:t xml:space="preserve">A member highlighted that </w:t>
            </w:r>
            <w:r w:rsidR="00B008B4">
              <w:t xml:space="preserve">within the sector there were </w:t>
            </w:r>
            <w:r w:rsidRPr="00B6294E">
              <w:t>problems with doing</w:t>
            </w:r>
            <w:r w:rsidR="00B008B4">
              <w:t xml:space="preserve"> quality research o</w:t>
            </w:r>
            <w:r w:rsidRPr="00B6294E">
              <w:t>n charity reporting and accounting</w:t>
            </w:r>
            <w:r w:rsidR="00D43143">
              <w:t xml:space="preserve"> in</w:t>
            </w:r>
            <w:r w:rsidRPr="00B6294E">
              <w:t xml:space="preserve"> that it is very </w:t>
            </w:r>
            <w:r w:rsidRPr="00B6294E">
              <w:lastRenderedPageBreak/>
              <w:t xml:space="preserve">difficult to get research funded. </w:t>
            </w:r>
            <w:r w:rsidR="00B008B4">
              <w:t>An example of this was o</w:t>
            </w:r>
            <w:r w:rsidRPr="00B6294E">
              <w:t xml:space="preserve">ngoing work with Italian partners </w:t>
            </w:r>
            <w:r w:rsidR="00B008B4">
              <w:t>which has demonstrated</w:t>
            </w:r>
            <w:r w:rsidRPr="00B6294E">
              <w:t xml:space="preserve"> that it is actually very hard to identify </w:t>
            </w:r>
            <w:r w:rsidR="00B008B4">
              <w:t>re</w:t>
            </w:r>
            <w:r w:rsidRPr="00B6294E">
              <w:t>sources for this kind of research.</w:t>
            </w:r>
          </w:p>
          <w:p w14:paraId="6F677E98" w14:textId="77777777" w:rsidR="002F393E" w:rsidRPr="00B6294E" w:rsidRDefault="002F393E" w:rsidP="002F393E"/>
          <w:p w14:paraId="72A8C1AE" w14:textId="51D2A52A" w:rsidR="002F393E" w:rsidRPr="00B6294E" w:rsidRDefault="002F393E" w:rsidP="003D0C95">
            <w:pPr>
              <w:jc w:val="left"/>
            </w:pPr>
            <w:r w:rsidRPr="00B6294E">
              <w:t xml:space="preserve">It was </w:t>
            </w:r>
            <w:r w:rsidR="003D0C95">
              <w:t>noted</w:t>
            </w:r>
            <w:r w:rsidRPr="00B6294E">
              <w:t xml:space="preserve"> that Power to Change has previous</w:t>
            </w:r>
            <w:r w:rsidR="003D0C95">
              <w:t>ly</w:t>
            </w:r>
            <w:r w:rsidRPr="00B6294E">
              <w:t xml:space="preserve"> funded relevant research and may be interested in funding future research. It was proposed that </w:t>
            </w:r>
            <w:r w:rsidR="003D0C95">
              <w:t>they would be</w:t>
            </w:r>
            <w:r w:rsidRPr="00B6294E">
              <w:t xml:space="preserve"> invite</w:t>
            </w:r>
            <w:r w:rsidR="003D0C95">
              <w:t>d</w:t>
            </w:r>
            <w:r w:rsidRPr="00B6294E">
              <w:t xml:space="preserve"> </w:t>
            </w:r>
            <w:r w:rsidR="003D0C95">
              <w:t>to the October meeting as an Observer</w:t>
            </w:r>
            <w:r w:rsidR="00D43143">
              <w:t xml:space="preserve"> and this might provide an opportunity to discuss future research</w:t>
            </w:r>
            <w:r w:rsidR="003D0C95">
              <w:t xml:space="preserve">. </w:t>
            </w:r>
          </w:p>
          <w:p w14:paraId="49CE8AB0" w14:textId="77777777" w:rsidR="002F393E" w:rsidRPr="00B6294E" w:rsidDel="007A2700" w:rsidRDefault="002F393E" w:rsidP="002F393E">
            <w:pPr>
              <w:jc w:val="left"/>
            </w:pPr>
          </w:p>
        </w:tc>
        <w:tc>
          <w:tcPr>
            <w:tcW w:w="1524" w:type="dxa"/>
            <w:vAlign w:val="center"/>
          </w:tcPr>
          <w:p w14:paraId="1CD3316A" w14:textId="77777777" w:rsidR="002F393E" w:rsidRPr="00B6294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6D1B611C" w14:textId="77777777" w:rsidR="002F393E" w:rsidRPr="00B6294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4E695274" w14:textId="77777777" w:rsidR="002F393E" w:rsidRPr="00B6294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398CF98B" w14:textId="77777777" w:rsidR="002F393E" w:rsidRPr="00B6294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704E1552" w14:textId="77777777" w:rsidR="002F393E" w:rsidRPr="00B6294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7E94E418" w14:textId="77777777" w:rsidR="002F393E" w:rsidRPr="00B6294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30FF6FEB" w14:textId="77777777" w:rsidR="002F393E" w:rsidRPr="00B6294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5275664F" w14:textId="77777777" w:rsidR="002F393E" w:rsidRPr="00B6294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7CE2B9AA" w14:textId="77777777" w:rsidR="002F393E" w:rsidRPr="00B6294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20F9AE37" w14:textId="77777777" w:rsidR="002F393E" w:rsidRPr="00B6294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13AB62D3" w14:textId="4087E9DC" w:rsidR="002F393E" w:rsidRPr="00B6294E" w:rsidRDefault="002B1C37" w:rsidP="002B1C37">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C</w:t>
            </w:r>
            <w:r w:rsidR="003D0C95">
              <w:rPr>
                <w:rFonts w:eastAsiaTheme="minorEastAsia" w:cs="Times New Roman"/>
                <w:b/>
                <w:lang w:eastAsia="en-GB"/>
              </w:rPr>
              <w:t xml:space="preserve">ommittee </w:t>
            </w:r>
          </w:p>
        </w:tc>
      </w:tr>
      <w:tr w:rsidR="002F393E" w:rsidRPr="00E7339A" w14:paraId="7159E4A2" w14:textId="77777777" w:rsidTr="00917165">
        <w:trPr>
          <w:trHeight w:val="157"/>
        </w:trPr>
        <w:tc>
          <w:tcPr>
            <w:tcW w:w="885" w:type="dxa"/>
          </w:tcPr>
          <w:p w14:paraId="08825F00" w14:textId="59FFAD4B" w:rsidR="002F393E" w:rsidDel="00425C28" w:rsidRDefault="002F393E" w:rsidP="002F393E">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lastRenderedPageBreak/>
              <w:t>6.0</w:t>
            </w:r>
          </w:p>
        </w:tc>
        <w:tc>
          <w:tcPr>
            <w:tcW w:w="7831" w:type="dxa"/>
          </w:tcPr>
          <w:p w14:paraId="0C833EB9" w14:textId="3C09E226" w:rsidR="002F393E" w:rsidRPr="00917165" w:rsidDel="007A2700" w:rsidRDefault="002F393E" w:rsidP="002F393E">
            <w:pPr>
              <w:jc w:val="left"/>
              <w:rPr>
                <w:b/>
              </w:rPr>
            </w:pPr>
            <w:r>
              <w:rPr>
                <w:b/>
              </w:rPr>
              <w:t>Update on information sheets</w:t>
            </w:r>
          </w:p>
        </w:tc>
        <w:tc>
          <w:tcPr>
            <w:tcW w:w="1524" w:type="dxa"/>
            <w:vAlign w:val="center"/>
          </w:tcPr>
          <w:p w14:paraId="2209E9C5" w14:textId="77777777" w:rsidR="002F393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D0C95" w:rsidRPr="00E7339A" w14:paraId="521F5AF7" w14:textId="77777777" w:rsidTr="00917165">
        <w:trPr>
          <w:trHeight w:val="157"/>
        </w:trPr>
        <w:tc>
          <w:tcPr>
            <w:tcW w:w="885" w:type="dxa"/>
          </w:tcPr>
          <w:p w14:paraId="0DA24BFD" w14:textId="7B382CC3" w:rsidR="003D0C95" w:rsidRPr="003D0C95" w:rsidRDefault="003D0C9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r w:rsidRPr="003D0C95">
              <w:rPr>
                <w:rFonts w:eastAsiaTheme="minorEastAsia" w:cs="Times New Roman"/>
                <w:lang w:eastAsia="en-GB"/>
              </w:rPr>
              <w:t>6.1</w:t>
            </w:r>
          </w:p>
        </w:tc>
        <w:tc>
          <w:tcPr>
            <w:tcW w:w="7831" w:type="dxa"/>
          </w:tcPr>
          <w:p w14:paraId="258CF25C" w14:textId="4F02FF5E" w:rsidR="003D0C95" w:rsidRDefault="003D0C95" w:rsidP="003D0C95">
            <w:pPr>
              <w:jc w:val="left"/>
              <w:rPr>
                <w:b/>
              </w:rPr>
            </w:pPr>
            <w:r>
              <w:rPr>
                <w:b/>
              </w:rPr>
              <w:t xml:space="preserve">Information sheet 5: </w:t>
            </w:r>
            <w:r w:rsidRPr="003D0C95">
              <w:rPr>
                <w:b/>
              </w:rPr>
              <w:t>Irish Charities - Merger Accounting and Irish Republic of Ireland Company Law</w:t>
            </w:r>
            <w:r w:rsidR="004C1879">
              <w:rPr>
                <w:b/>
              </w:rPr>
              <w:t xml:space="preserve"> [Note th</w:t>
            </w:r>
            <w:r w:rsidR="00BE699F">
              <w:rPr>
                <w:b/>
              </w:rPr>
              <w:t>e sequencing changed and</w:t>
            </w:r>
            <w:r w:rsidR="004C1879">
              <w:rPr>
                <w:b/>
              </w:rPr>
              <w:t xml:space="preserve"> this is </w:t>
            </w:r>
            <w:r w:rsidR="00BE699F">
              <w:rPr>
                <w:b/>
              </w:rPr>
              <w:t>published as</w:t>
            </w:r>
            <w:r w:rsidR="004C1879">
              <w:rPr>
                <w:b/>
              </w:rPr>
              <w:t xml:space="preserve"> Information Sheet 6</w:t>
            </w:r>
            <w:r w:rsidR="00912AD7">
              <w:rPr>
                <w:b/>
              </w:rPr>
              <w:t>]</w:t>
            </w:r>
          </w:p>
          <w:p w14:paraId="2649E24F" w14:textId="77777777" w:rsidR="003D0C95" w:rsidRDefault="003D0C95" w:rsidP="002F393E">
            <w:pPr>
              <w:jc w:val="left"/>
              <w:rPr>
                <w:b/>
              </w:rPr>
            </w:pPr>
          </w:p>
        </w:tc>
        <w:tc>
          <w:tcPr>
            <w:tcW w:w="1524" w:type="dxa"/>
            <w:vAlign w:val="center"/>
          </w:tcPr>
          <w:p w14:paraId="7B7BA96B" w14:textId="77777777" w:rsidR="003D0C95" w:rsidRDefault="003D0C9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D0C95" w:rsidRPr="00E7339A" w14:paraId="195ED2BA" w14:textId="77777777" w:rsidTr="00917165">
        <w:trPr>
          <w:trHeight w:val="157"/>
        </w:trPr>
        <w:tc>
          <w:tcPr>
            <w:tcW w:w="885" w:type="dxa"/>
          </w:tcPr>
          <w:p w14:paraId="4AF04A1E" w14:textId="41048C3F" w:rsidR="003D0C95" w:rsidRPr="004935E9" w:rsidRDefault="004935E9" w:rsidP="002F393E">
            <w:pPr>
              <w:overflowPunct/>
              <w:autoSpaceDE/>
              <w:autoSpaceDN/>
              <w:adjustRightInd/>
              <w:spacing w:before="100" w:beforeAutospacing="1" w:after="120" w:line="276" w:lineRule="auto"/>
              <w:jc w:val="left"/>
              <w:textAlignment w:val="auto"/>
              <w:rPr>
                <w:rFonts w:eastAsiaTheme="minorEastAsia" w:cs="Times New Roman"/>
                <w:lang w:eastAsia="en-GB"/>
              </w:rPr>
            </w:pPr>
            <w:r w:rsidRPr="004935E9">
              <w:rPr>
                <w:rFonts w:eastAsiaTheme="minorEastAsia" w:cs="Times New Roman"/>
                <w:lang w:eastAsia="en-GB"/>
              </w:rPr>
              <w:t>6.2</w:t>
            </w:r>
          </w:p>
        </w:tc>
        <w:tc>
          <w:tcPr>
            <w:tcW w:w="7831" w:type="dxa"/>
          </w:tcPr>
          <w:p w14:paraId="38796552" w14:textId="410B977C" w:rsidR="003D0C95" w:rsidRDefault="003D0C95" w:rsidP="003D0C95">
            <w:pPr>
              <w:jc w:val="left"/>
            </w:pPr>
            <w:r>
              <w:t>CIPFA</w:t>
            </w:r>
            <w:r w:rsidR="004935E9">
              <w:t xml:space="preserve"> commented</w:t>
            </w:r>
            <w:r>
              <w:t xml:space="preserve"> that the draft of Information Sheet </w:t>
            </w:r>
            <w:r w:rsidR="004C1879">
              <w:t>6</w:t>
            </w:r>
            <w:r>
              <w:t xml:space="preserve">: </w:t>
            </w:r>
            <w:r w:rsidRPr="003D0C95">
              <w:t>Irish Charities - Merger Accounting and Irish Republic of Ireland Company Law</w:t>
            </w:r>
            <w:r>
              <w:t xml:space="preserve"> ha</w:t>
            </w:r>
            <w:r w:rsidR="004935E9">
              <w:t xml:space="preserve">s </w:t>
            </w:r>
            <w:r>
              <w:t xml:space="preserve">now been finalised. The Bulletin extends paragraph 27.4A </w:t>
            </w:r>
            <w:r w:rsidR="000A1C6A">
              <w:t xml:space="preserve">of the SORP </w:t>
            </w:r>
            <w:r>
              <w:t xml:space="preserve">which focuses on the impact of merger accounting and company law to Republic of Ireland charities. It </w:t>
            </w:r>
            <w:r w:rsidR="004935E9">
              <w:t>comments</w:t>
            </w:r>
            <w:r>
              <w:t xml:space="preserve"> on </w:t>
            </w:r>
            <w:r w:rsidR="004935E9">
              <w:t xml:space="preserve">those entities where merger accounting is not prohibited by company law including an explanation of </w:t>
            </w:r>
            <w:r>
              <w:t xml:space="preserve">non-UK and registered companies </w:t>
            </w:r>
            <w:r w:rsidR="004935E9">
              <w:t>(now including the Republic of Ireland). This has been sent to the Chartered Accountants Ireland where a working group has been assisting with the review of this information sheet</w:t>
            </w:r>
            <w:r w:rsidR="0014446D">
              <w:t>. This working group</w:t>
            </w:r>
            <w:r w:rsidR="00D43143">
              <w:t xml:space="preserve"> will be invited to consider the final set of changes</w:t>
            </w:r>
            <w:r w:rsidR="004935E9">
              <w:t xml:space="preserve">. </w:t>
            </w:r>
          </w:p>
          <w:p w14:paraId="7F582B73" w14:textId="77777777" w:rsidR="003D0C95" w:rsidRDefault="003D0C95" w:rsidP="004935E9">
            <w:pPr>
              <w:jc w:val="left"/>
              <w:rPr>
                <w:b/>
              </w:rPr>
            </w:pPr>
          </w:p>
        </w:tc>
        <w:tc>
          <w:tcPr>
            <w:tcW w:w="1524" w:type="dxa"/>
            <w:vAlign w:val="center"/>
          </w:tcPr>
          <w:p w14:paraId="2135CE30" w14:textId="77777777" w:rsidR="003D0C95" w:rsidRDefault="003D0C9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2833BD76" w14:textId="77777777" w:rsidR="004935E9" w:rsidRDefault="004935E9"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63F83048" w14:textId="77777777" w:rsidR="004935E9" w:rsidRDefault="004935E9"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7487D0B6" w14:textId="436120E2" w:rsidR="004935E9" w:rsidRPr="004935E9" w:rsidRDefault="004935E9" w:rsidP="002F393E">
            <w:pPr>
              <w:overflowPunct/>
              <w:autoSpaceDE/>
              <w:autoSpaceDN/>
              <w:adjustRightInd/>
              <w:spacing w:before="100" w:beforeAutospacing="1" w:after="120" w:line="276" w:lineRule="auto"/>
              <w:jc w:val="left"/>
              <w:textAlignment w:val="auto"/>
              <w:rPr>
                <w:rFonts w:eastAsiaTheme="minorEastAsia" w:cs="Times New Roman"/>
                <w:b/>
                <w:lang w:eastAsia="en-GB"/>
              </w:rPr>
            </w:pPr>
            <w:r w:rsidRPr="004935E9">
              <w:rPr>
                <w:rFonts w:eastAsiaTheme="minorEastAsia" w:cs="Times New Roman"/>
                <w:b/>
                <w:lang w:eastAsia="en-GB"/>
              </w:rPr>
              <w:t>CIPFA</w:t>
            </w:r>
          </w:p>
        </w:tc>
      </w:tr>
      <w:tr w:rsidR="002F393E" w:rsidRPr="00E7339A" w14:paraId="68C070F3" w14:textId="77777777" w:rsidTr="00917165">
        <w:trPr>
          <w:trHeight w:val="157"/>
        </w:trPr>
        <w:tc>
          <w:tcPr>
            <w:tcW w:w="885" w:type="dxa"/>
          </w:tcPr>
          <w:p w14:paraId="3B248DF0" w14:textId="60B80559" w:rsidR="002F393E" w:rsidDel="00425C28" w:rsidRDefault="004935E9" w:rsidP="002F393E">
            <w:pPr>
              <w:overflowPunct/>
              <w:autoSpaceDE/>
              <w:autoSpaceDN/>
              <w:adjustRightInd/>
              <w:spacing w:before="100" w:beforeAutospacing="1" w:after="120" w:line="276" w:lineRule="auto"/>
              <w:jc w:val="left"/>
              <w:textAlignment w:val="auto"/>
              <w:rPr>
                <w:rFonts w:eastAsiaTheme="minorEastAsia" w:cs="Times New Roman"/>
                <w:b/>
                <w:lang w:eastAsia="en-GB"/>
              </w:rPr>
            </w:pPr>
            <w:r w:rsidRPr="00B6294E">
              <w:rPr>
                <w:rFonts w:eastAsiaTheme="minorEastAsia" w:cs="Times New Roman"/>
                <w:b/>
                <w:lang w:eastAsia="en-GB"/>
              </w:rPr>
              <w:t>6.</w:t>
            </w:r>
            <w:r w:rsidR="008D3306">
              <w:rPr>
                <w:rFonts w:eastAsiaTheme="minorEastAsia" w:cs="Times New Roman"/>
                <w:b/>
                <w:lang w:eastAsia="en-GB"/>
              </w:rPr>
              <w:t>3</w:t>
            </w:r>
          </w:p>
        </w:tc>
        <w:tc>
          <w:tcPr>
            <w:tcW w:w="7831" w:type="dxa"/>
          </w:tcPr>
          <w:p w14:paraId="4FCA6BD6" w14:textId="6714FDC0" w:rsidR="0014446D" w:rsidRDefault="004935E9" w:rsidP="002F393E">
            <w:pPr>
              <w:jc w:val="left"/>
              <w:rPr>
                <w:b/>
              </w:rPr>
            </w:pPr>
            <w:r>
              <w:rPr>
                <w:b/>
              </w:rPr>
              <w:t>Information Sheet 6:</w:t>
            </w:r>
            <w:r w:rsidR="00912AD7">
              <w:rPr>
                <w:b/>
              </w:rPr>
              <w:t xml:space="preserve"> </w:t>
            </w:r>
            <w:r w:rsidRPr="004935E9">
              <w:rPr>
                <w:b/>
              </w:rPr>
              <w:t>The Companies (Directors’ Report) and Limited Liability Partnerships (Energy and Carbon Report) Regulations 2018, as applied to Charitable Companies</w:t>
            </w:r>
            <w:r w:rsidR="0014446D">
              <w:rPr>
                <w:b/>
              </w:rPr>
              <w:t xml:space="preserve"> </w:t>
            </w:r>
          </w:p>
          <w:p w14:paraId="3A04DB5C" w14:textId="599E2953" w:rsidR="003D0C95" w:rsidRDefault="0014446D" w:rsidP="002F393E">
            <w:pPr>
              <w:jc w:val="left"/>
              <w:rPr>
                <w:b/>
              </w:rPr>
            </w:pPr>
            <w:r>
              <w:rPr>
                <w:b/>
              </w:rPr>
              <w:t>[</w:t>
            </w:r>
            <w:r w:rsidR="004C1879">
              <w:rPr>
                <w:b/>
              </w:rPr>
              <w:t>N</w:t>
            </w:r>
            <w:r>
              <w:rPr>
                <w:b/>
              </w:rPr>
              <w:t>ote th</w:t>
            </w:r>
            <w:r w:rsidR="00BE699F">
              <w:rPr>
                <w:b/>
              </w:rPr>
              <w:t>e sequencing changed and</w:t>
            </w:r>
            <w:r>
              <w:rPr>
                <w:b/>
              </w:rPr>
              <w:t xml:space="preserve"> this is </w:t>
            </w:r>
            <w:r w:rsidR="00BE699F">
              <w:rPr>
                <w:b/>
              </w:rPr>
              <w:t>published as</w:t>
            </w:r>
            <w:r>
              <w:rPr>
                <w:b/>
              </w:rPr>
              <w:t xml:space="preserve"> Information Sheet 5]</w:t>
            </w:r>
          </w:p>
          <w:p w14:paraId="04660FCD" w14:textId="4DE6AD9C" w:rsidR="002F393E" w:rsidRPr="00917165" w:rsidDel="007A2700" w:rsidRDefault="002F393E" w:rsidP="003D0C95">
            <w:pPr>
              <w:jc w:val="left"/>
              <w:rPr>
                <w:b/>
              </w:rPr>
            </w:pPr>
          </w:p>
        </w:tc>
        <w:tc>
          <w:tcPr>
            <w:tcW w:w="1524" w:type="dxa"/>
            <w:vAlign w:val="center"/>
          </w:tcPr>
          <w:p w14:paraId="5A78D641" w14:textId="77777777" w:rsidR="002F393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F393E" w:rsidRPr="00E7339A" w14:paraId="05DDF0AB" w14:textId="77777777" w:rsidTr="00917165">
        <w:trPr>
          <w:trHeight w:val="157"/>
        </w:trPr>
        <w:tc>
          <w:tcPr>
            <w:tcW w:w="885" w:type="dxa"/>
          </w:tcPr>
          <w:p w14:paraId="740D1942" w14:textId="63084B6C" w:rsidR="002F393E" w:rsidRPr="008D3306" w:rsidDel="00425C28" w:rsidRDefault="004935E9" w:rsidP="002F393E">
            <w:pPr>
              <w:overflowPunct/>
              <w:autoSpaceDE/>
              <w:autoSpaceDN/>
              <w:adjustRightInd/>
              <w:spacing w:before="100" w:beforeAutospacing="1" w:after="120" w:line="276" w:lineRule="auto"/>
              <w:jc w:val="left"/>
              <w:textAlignment w:val="auto"/>
              <w:rPr>
                <w:rFonts w:eastAsiaTheme="minorEastAsia" w:cs="Times New Roman"/>
                <w:lang w:eastAsia="en-GB"/>
              </w:rPr>
            </w:pPr>
            <w:r w:rsidRPr="008D3306">
              <w:rPr>
                <w:rFonts w:eastAsiaTheme="minorEastAsia" w:cs="Times New Roman"/>
                <w:lang w:eastAsia="en-GB"/>
              </w:rPr>
              <w:t>6.</w:t>
            </w:r>
            <w:r w:rsidR="008D3306" w:rsidRPr="008D3306">
              <w:rPr>
                <w:rFonts w:eastAsiaTheme="minorEastAsia" w:cs="Times New Roman"/>
                <w:lang w:eastAsia="en-GB"/>
              </w:rPr>
              <w:t>4</w:t>
            </w:r>
          </w:p>
        </w:tc>
        <w:tc>
          <w:tcPr>
            <w:tcW w:w="7831" w:type="dxa"/>
          </w:tcPr>
          <w:p w14:paraId="13A116CF" w14:textId="60E3E9A2" w:rsidR="002F393E" w:rsidRPr="00B6294E" w:rsidRDefault="002F393E" w:rsidP="004935E9">
            <w:pPr>
              <w:jc w:val="left"/>
            </w:pPr>
            <w:r w:rsidRPr="00B6294E">
              <w:t xml:space="preserve">Information </w:t>
            </w:r>
            <w:r w:rsidR="0014446D">
              <w:t>S</w:t>
            </w:r>
            <w:r w:rsidRPr="00B6294E">
              <w:t xml:space="preserve">heet </w:t>
            </w:r>
            <w:r w:rsidR="0014446D">
              <w:t>5</w:t>
            </w:r>
            <w:r w:rsidR="004935E9">
              <w:t xml:space="preserve">: </w:t>
            </w:r>
            <w:r w:rsidR="004935E9" w:rsidRPr="004935E9">
              <w:t>The Companies (Directors’ Report) and Limited Liability Partnerships (Energy and Carbon Report) Regulations 2018, as applied to Charitable Companies</w:t>
            </w:r>
            <w:r w:rsidRPr="00B6294E">
              <w:t xml:space="preserve"> was </w:t>
            </w:r>
            <w:r w:rsidR="004935E9">
              <w:t xml:space="preserve">considered </w:t>
            </w:r>
            <w:r w:rsidR="0014446D">
              <w:t>by the Committee at its</w:t>
            </w:r>
            <w:r w:rsidRPr="00B6294E">
              <w:t xml:space="preserve"> last </w:t>
            </w:r>
            <w:r w:rsidR="0014446D">
              <w:t>meeting. Subsequently</w:t>
            </w:r>
            <w:r w:rsidR="004935E9">
              <w:t xml:space="preserve"> two</w:t>
            </w:r>
            <w:r w:rsidRPr="00B6294E">
              <w:t xml:space="preserve"> members </w:t>
            </w:r>
            <w:r w:rsidR="004935E9">
              <w:t xml:space="preserve">have </w:t>
            </w:r>
            <w:r w:rsidR="00D43143">
              <w:t>provided comments</w:t>
            </w:r>
            <w:r w:rsidR="004935E9">
              <w:t xml:space="preserve">. </w:t>
            </w:r>
            <w:r w:rsidR="00D43143">
              <w:t>Where possible/relevant changes have been made to the draft information sheet</w:t>
            </w:r>
            <w:r w:rsidR="004B6384">
              <w:t>.</w:t>
            </w:r>
            <w:r w:rsidRPr="00B6294E">
              <w:t xml:space="preserve"> </w:t>
            </w:r>
          </w:p>
          <w:p w14:paraId="7EC675A7" w14:textId="77777777" w:rsidR="002F393E" w:rsidRPr="00B6294E" w:rsidRDefault="002F393E" w:rsidP="002F393E"/>
          <w:p w14:paraId="3BBA8488" w14:textId="392366E0" w:rsidR="002A3405" w:rsidRDefault="004935E9" w:rsidP="002A3405">
            <w:pPr>
              <w:jc w:val="left"/>
            </w:pPr>
            <w:r>
              <w:t>CIPFA provided some feedback on the comments</w:t>
            </w:r>
            <w:r w:rsidR="004B6384">
              <w:t>,</w:t>
            </w:r>
            <w:r>
              <w:t xml:space="preserve"> for example</w:t>
            </w:r>
            <w:r w:rsidR="004B6384">
              <w:t>,</w:t>
            </w:r>
            <w:r>
              <w:t xml:space="preserve"> a suggestion had been made to include</w:t>
            </w:r>
            <w:r w:rsidR="002F393E" w:rsidRPr="00B6294E">
              <w:t xml:space="preserve"> the impact of non-compliance </w:t>
            </w:r>
            <w:r>
              <w:t xml:space="preserve">in the information sheet. CIPFA commented that it would be unusual to do this in any form of guidance because all forms of reporting included consequences of non-compliance. </w:t>
            </w:r>
            <w:proofErr w:type="gramStart"/>
            <w:r>
              <w:t>Additionally</w:t>
            </w:r>
            <w:proofErr w:type="gramEnd"/>
            <w:r>
              <w:t xml:space="preserve"> at the last meeting </w:t>
            </w:r>
            <w:r w:rsidR="002A3405">
              <w:t xml:space="preserve">a member had requested more guidance on the then paragraph 4.10 on information being not practical to obtain. CIPFA indicated that no additional guidance was available in either the Regulations or the associated </w:t>
            </w:r>
            <w:r w:rsidR="004B6384">
              <w:t xml:space="preserve">guidelines. Any further commentary would be an interpretation which </w:t>
            </w:r>
            <w:r w:rsidR="002A3405">
              <w:t>risked being at odds with the Regulations. CIPFA also referred to the earlier decision of the joint SORP-making</w:t>
            </w:r>
            <w:r w:rsidR="004B6384">
              <w:t xml:space="preserve"> body on the interpretation of ‘turnover’</w:t>
            </w:r>
            <w:r w:rsidR="002A3405">
              <w:t xml:space="preserve"> see minute 2.4 above.</w:t>
            </w:r>
            <w:r>
              <w:t xml:space="preserve"> </w:t>
            </w:r>
          </w:p>
          <w:p w14:paraId="6B64CEC4" w14:textId="77777777" w:rsidR="002A3405" w:rsidRDefault="002A3405" w:rsidP="002A3405">
            <w:pPr>
              <w:jc w:val="left"/>
            </w:pPr>
          </w:p>
          <w:p w14:paraId="155D1D95" w14:textId="00F95145" w:rsidR="002A3405" w:rsidRPr="00B6294E" w:rsidDel="007A2700" w:rsidRDefault="002A3405" w:rsidP="002A3405">
            <w:pPr>
              <w:jc w:val="left"/>
            </w:pPr>
            <w:r>
              <w:t>CIPFA thanked the c</w:t>
            </w:r>
            <w:r w:rsidRPr="00B6294E">
              <w:t>ommitt</w:t>
            </w:r>
            <w:r>
              <w:t>ee for providing their comments which were very useful in finalising the development of the information sheet.</w:t>
            </w:r>
          </w:p>
          <w:p w14:paraId="358EE2B4" w14:textId="2FECD518" w:rsidR="002F393E" w:rsidRPr="00B6294E" w:rsidDel="007A2700" w:rsidRDefault="002F393E" w:rsidP="002F393E"/>
        </w:tc>
        <w:tc>
          <w:tcPr>
            <w:tcW w:w="1524" w:type="dxa"/>
            <w:vAlign w:val="center"/>
          </w:tcPr>
          <w:p w14:paraId="459BD241" w14:textId="77777777" w:rsidR="002F393E" w:rsidRDefault="002F393E"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4B6384" w:rsidRPr="00E7339A" w14:paraId="5FC702F5" w14:textId="77777777" w:rsidTr="00917165">
        <w:trPr>
          <w:trHeight w:val="157"/>
        </w:trPr>
        <w:tc>
          <w:tcPr>
            <w:tcW w:w="885" w:type="dxa"/>
          </w:tcPr>
          <w:p w14:paraId="1A0D5110" w14:textId="73F2E7D4"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7.</w:t>
            </w:r>
          </w:p>
        </w:tc>
        <w:tc>
          <w:tcPr>
            <w:tcW w:w="7831" w:type="dxa"/>
          </w:tcPr>
          <w:p w14:paraId="48B4B77C" w14:textId="77777777" w:rsidR="004B6384" w:rsidRPr="00363092" w:rsidRDefault="004B6384" w:rsidP="004B6384">
            <w:pPr>
              <w:jc w:val="left"/>
              <w:rPr>
                <w:b/>
              </w:rPr>
            </w:pPr>
            <w:r>
              <w:rPr>
                <w:b/>
              </w:rPr>
              <w:t>AOB</w:t>
            </w:r>
          </w:p>
          <w:p w14:paraId="0BEBA1B7" w14:textId="77777777" w:rsidR="004B6384" w:rsidRDefault="004B6384" w:rsidP="004B6384">
            <w:pPr>
              <w:jc w:val="left"/>
              <w:rPr>
                <w:b/>
              </w:rPr>
            </w:pPr>
          </w:p>
        </w:tc>
        <w:tc>
          <w:tcPr>
            <w:tcW w:w="1524" w:type="dxa"/>
            <w:vAlign w:val="center"/>
          </w:tcPr>
          <w:p w14:paraId="69A7A738"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4B6384" w:rsidRPr="00E7339A" w14:paraId="1583337F" w14:textId="77777777" w:rsidTr="00917165">
        <w:trPr>
          <w:trHeight w:val="157"/>
        </w:trPr>
        <w:tc>
          <w:tcPr>
            <w:tcW w:w="885" w:type="dxa"/>
          </w:tcPr>
          <w:p w14:paraId="66D0049E" w14:textId="57EFF978" w:rsidR="004B6384" w:rsidRP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r w:rsidRPr="004B6384">
              <w:rPr>
                <w:rFonts w:eastAsiaTheme="minorEastAsia" w:cs="Times New Roman"/>
                <w:lang w:eastAsia="en-GB"/>
              </w:rPr>
              <w:lastRenderedPageBreak/>
              <w:t>7.1</w:t>
            </w:r>
          </w:p>
        </w:tc>
        <w:tc>
          <w:tcPr>
            <w:tcW w:w="7831" w:type="dxa"/>
          </w:tcPr>
          <w:p w14:paraId="554E0713" w14:textId="649A8CB2" w:rsidR="004B6384" w:rsidRPr="004B6384" w:rsidRDefault="004B6384" w:rsidP="004B6384">
            <w:pPr>
              <w:jc w:val="left"/>
            </w:pPr>
            <w:r w:rsidRPr="004B6384">
              <w:t>The Chairs invited any final comments from committee members.</w:t>
            </w:r>
          </w:p>
        </w:tc>
        <w:tc>
          <w:tcPr>
            <w:tcW w:w="1524" w:type="dxa"/>
            <w:vAlign w:val="center"/>
          </w:tcPr>
          <w:p w14:paraId="2D725066"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4B6384" w:rsidRPr="00E7339A" w14:paraId="3E2CEF4F" w14:textId="77777777" w:rsidTr="00917165">
        <w:trPr>
          <w:trHeight w:val="157"/>
        </w:trPr>
        <w:tc>
          <w:tcPr>
            <w:tcW w:w="885" w:type="dxa"/>
          </w:tcPr>
          <w:p w14:paraId="3D22157F" w14:textId="6307EA08"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r w:rsidRPr="002A3405">
              <w:rPr>
                <w:rFonts w:eastAsiaTheme="minorEastAsia" w:cs="Times New Roman"/>
                <w:lang w:eastAsia="en-GB"/>
              </w:rPr>
              <w:t>7.</w:t>
            </w:r>
            <w:r>
              <w:rPr>
                <w:rFonts w:eastAsiaTheme="minorEastAsia" w:cs="Times New Roman"/>
                <w:lang w:eastAsia="en-GB"/>
              </w:rPr>
              <w:t>2</w:t>
            </w:r>
          </w:p>
        </w:tc>
        <w:tc>
          <w:tcPr>
            <w:tcW w:w="7831" w:type="dxa"/>
          </w:tcPr>
          <w:p w14:paraId="17645F9B" w14:textId="79881228" w:rsidR="004B6384" w:rsidRDefault="004B6384" w:rsidP="004B6384">
            <w:pPr>
              <w:jc w:val="left"/>
            </w:pPr>
            <w:r>
              <w:t>A member asked the Chairs about the potential effects of the pandemic on the committee’s timetable</w:t>
            </w:r>
            <w:r w:rsidR="000A1C6A">
              <w:t xml:space="preserve">, including the expected timing of the engagement work. </w:t>
            </w:r>
            <w:r>
              <w:t xml:space="preserve">(The original timetable had anticipated that the exploration stage of work </w:t>
            </w:r>
            <w:r w:rsidR="008D3306">
              <w:t>was to be completed in</w:t>
            </w:r>
            <w:r>
              <w:t xml:space="preserve"> September. This timescale appeared difficult to meet at this juncture). The member also asked whether the joint SORP-making body may have to consider any impact that working virtually might have on the timetable?</w:t>
            </w:r>
          </w:p>
          <w:p w14:paraId="00B46D91" w14:textId="77777777" w:rsidR="004B6384" w:rsidRDefault="004B6384" w:rsidP="004B6384"/>
          <w:p w14:paraId="24DC0641" w14:textId="2286E3AA" w:rsidR="004B6384" w:rsidRPr="00444764" w:rsidRDefault="004B6384" w:rsidP="004B6384">
            <w:pPr>
              <w:jc w:val="left"/>
            </w:pPr>
            <w:r w:rsidRPr="00444764">
              <w:t>The Chairs recognise</w:t>
            </w:r>
            <w:r>
              <w:t>d</w:t>
            </w:r>
            <w:r w:rsidRPr="00444764">
              <w:t xml:space="preserve"> </w:t>
            </w:r>
            <w:r>
              <w:t>the impact of the COVID-19 pandemic on the proposed timetable</w:t>
            </w:r>
            <w:r w:rsidRPr="00444764">
              <w:t xml:space="preserve">. </w:t>
            </w:r>
            <w:r>
              <w:t xml:space="preserve">It was considered that some of the impact may be mitigated by the ability to meet virtually as, for example, the reduced travel requirements reduced the time commitment for members. </w:t>
            </w:r>
            <w:r w:rsidRPr="00444764">
              <w:t xml:space="preserve">At present it is hard to </w:t>
            </w:r>
            <w:r>
              <w:t>predict precisely</w:t>
            </w:r>
            <w:r w:rsidRPr="00444764">
              <w:t xml:space="preserve"> how the </w:t>
            </w:r>
            <w:r>
              <w:t>pandemic</w:t>
            </w:r>
            <w:r w:rsidRPr="00444764">
              <w:t xml:space="preserve"> may impact on the timetable</w:t>
            </w:r>
            <w:r>
              <w:t>. However, i</w:t>
            </w:r>
            <w:r w:rsidRPr="00444764">
              <w:t xml:space="preserve">t is hoped this will become clearer once the convenors are appointed. </w:t>
            </w:r>
          </w:p>
          <w:p w14:paraId="5F9F8DD7" w14:textId="77777777" w:rsidR="004B6384" w:rsidRDefault="004B6384" w:rsidP="004B6384">
            <w:pPr>
              <w:jc w:val="left"/>
              <w:rPr>
                <w:b/>
              </w:rPr>
            </w:pPr>
          </w:p>
        </w:tc>
        <w:tc>
          <w:tcPr>
            <w:tcW w:w="1524" w:type="dxa"/>
            <w:vAlign w:val="center"/>
          </w:tcPr>
          <w:p w14:paraId="07114FBE"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4B6384" w:rsidRPr="00E7339A" w14:paraId="060CA353" w14:textId="77777777" w:rsidTr="00917165">
        <w:trPr>
          <w:trHeight w:val="157"/>
        </w:trPr>
        <w:tc>
          <w:tcPr>
            <w:tcW w:w="885" w:type="dxa"/>
          </w:tcPr>
          <w:p w14:paraId="3602A499" w14:textId="2344CAC0" w:rsidR="004B6384" w:rsidRPr="002A3405"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r w:rsidRPr="002A3405">
              <w:rPr>
                <w:rFonts w:eastAsiaTheme="minorEastAsia" w:cs="Times New Roman"/>
                <w:lang w:eastAsia="en-GB"/>
              </w:rPr>
              <w:t>7.</w:t>
            </w:r>
            <w:r w:rsidR="00A87BAD">
              <w:rPr>
                <w:rFonts w:eastAsiaTheme="minorEastAsia" w:cs="Times New Roman"/>
                <w:lang w:eastAsia="en-GB"/>
              </w:rPr>
              <w:t>3</w:t>
            </w:r>
          </w:p>
        </w:tc>
        <w:tc>
          <w:tcPr>
            <w:tcW w:w="7831" w:type="dxa"/>
          </w:tcPr>
          <w:p w14:paraId="25AA0A4F" w14:textId="3B6F8343" w:rsidR="004B6384" w:rsidRDefault="004B6384" w:rsidP="004B6384">
            <w:r>
              <w:t xml:space="preserve">A committee member enquired when the information sheets were due to be issued. </w:t>
            </w:r>
          </w:p>
          <w:p w14:paraId="075A5115" w14:textId="77777777" w:rsidR="004B6384" w:rsidRDefault="004B6384" w:rsidP="004B6384"/>
          <w:p w14:paraId="2EE53C54" w14:textId="7F8F7D76" w:rsidR="004B6384" w:rsidRPr="002A3405" w:rsidRDefault="004B6384" w:rsidP="004B6384">
            <w:r>
              <w:t xml:space="preserve">CIPFA commented that there were no definite dates yet. Information Sheet 5 was with Chartered Accountants Ireland to confirm that they were </w:t>
            </w:r>
            <w:proofErr w:type="gramStart"/>
            <w:r>
              <w:t>content</w:t>
            </w:r>
            <w:proofErr w:type="gramEnd"/>
            <w:r>
              <w:t xml:space="preserve"> and the joint SORP-making body would hopefully be able to take their final decisions on</w:t>
            </w:r>
            <w:r w:rsidRPr="002A3405">
              <w:t xml:space="preserve"> </w:t>
            </w:r>
            <w:r>
              <w:t>both in the near future</w:t>
            </w:r>
            <w:r w:rsidRPr="002A3405">
              <w:t>.</w:t>
            </w:r>
          </w:p>
          <w:p w14:paraId="1E715162" w14:textId="77777777" w:rsidR="004B6384" w:rsidRDefault="004B6384" w:rsidP="004B6384">
            <w:pPr>
              <w:jc w:val="left"/>
              <w:rPr>
                <w:b/>
              </w:rPr>
            </w:pPr>
          </w:p>
        </w:tc>
        <w:tc>
          <w:tcPr>
            <w:tcW w:w="1524" w:type="dxa"/>
            <w:vAlign w:val="center"/>
          </w:tcPr>
          <w:p w14:paraId="7C4BE13C"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4B6384" w:rsidRPr="00E7339A" w14:paraId="27561AD0" w14:textId="77777777" w:rsidTr="00917165">
        <w:trPr>
          <w:trHeight w:val="157"/>
        </w:trPr>
        <w:tc>
          <w:tcPr>
            <w:tcW w:w="885" w:type="dxa"/>
          </w:tcPr>
          <w:p w14:paraId="79A83785" w14:textId="530CFD0D" w:rsidR="004B6384" w:rsidRPr="002A3405"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r w:rsidRPr="002A3405">
              <w:rPr>
                <w:rFonts w:eastAsiaTheme="minorEastAsia" w:cs="Times New Roman"/>
                <w:lang w:eastAsia="en-GB"/>
              </w:rPr>
              <w:t>7.</w:t>
            </w:r>
            <w:r w:rsidR="00A87BAD">
              <w:rPr>
                <w:rFonts w:eastAsiaTheme="minorEastAsia" w:cs="Times New Roman"/>
                <w:lang w:eastAsia="en-GB"/>
              </w:rPr>
              <w:t>4</w:t>
            </w:r>
          </w:p>
        </w:tc>
        <w:tc>
          <w:tcPr>
            <w:tcW w:w="7831" w:type="dxa"/>
          </w:tcPr>
          <w:p w14:paraId="4B369DCC" w14:textId="0CE4E90A" w:rsidR="004B6384" w:rsidRDefault="004B6384" w:rsidP="004B6384">
            <w:pPr>
              <w:jc w:val="left"/>
            </w:pPr>
            <w:r>
              <w:t>The committee noted that at its 30 April 2020 meeting there had been discussion about updating the illustrative accounts. If this took place there may be an opportunity to demonstrate the presentation of the reporting of some of the issues created by the COVID-19 pandemic.</w:t>
            </w:r>
          </w:p>
          <w:p w14:paraId="0950843D" w14:textId="77777777" w:rsidR="004B6384" w:rsidRDefault="004B6384" w:rsidP="004B6384"/>
          <w:p w14:paraId="43BFBF53" w14:textId="77777777" w:rsidR="004B6384" w:rsidRDefault="004B6384" w:rsidP="004B6384">
            <w:pPr>
              <w:jc w:val="left"/>
            </w:pPr>
            <w:r>
              <w:t>It was noted that t</w:t>
            </w:r>
            <w:r w:rsidRPr="00F24176">
              <w:t xml:space="preserve">he revised templates </w:t>
            </w:r>
            <w:r>
              <w:t>were subject to</w:t>
            </w:r>
            <w:r w:rsidRPr="00F24176">
              <w:t xml:space="preserve"> </w:t>
            </w:r>
            <w:r>
              <w:t xml:space="preserve">their </w:t>
            </w:r>
            <w:r w:rsidRPr="00F24176">
              <w:t xml:space="preserve">final review. </w:t>
            </w:r>
          </w:p>
          <w:p w14:paraId="746427E0" w14:textId="77777777" w:rsidR="004B6384" w:rsidRDefault="004B6384" w:rsidP="004B6384">
            <w:pPr>
              <w:jc w:val="left"/>
            </w:pPr>
          </w:p>
          <w:p w14:paraId="70EDC590" w14:textId="40B7E21E" w:rsidR="004B6384" w:rsidRPr="00F24176" w:rsidRDefault="004B6384" w:rsidP="004B6384">
            <w:pPr>
              <w:jc w:val="left"/>
            </w:pPr>
            <w:r w:rsidRPr="00F24176">
              <w:t>The CCEW team are exploring the idea of including a solvency example</w:t>
            </w:r>
            <w:r>
              <w:t xml:space="preserve"> (resulting from the COVID-19 pandemic</w:t>
            </w:r>
            <w:r w:rsidR="008D3306">
              <w:t>)</w:t>
            </w:r>
            <w:r>
              <w:t xml:space="preserve"> </w:t>
            </w:r>
            <w:r w:rsidRPr="00F24176">
              <w:t>in the revised version</w:t>
            </w:r>
            <w:r>
              <w:t>. This</w:t>
            </w:r>
            <w:r w:rsidRPr="00F24176">
              <w:t xml:space="preserve"> is </w:t>
            </w:r>
            <w:r>
              <w:t>currently being considered. However, it was not possible to commit to this example being included in the template.</w:t>
            </w:r>
          </w:p>
          <w:p w14:paraId="6CC1285C" w14:textId="77777777" w:rsidR="004B6384" w:rsidRDefault="004B6384" w:rsidP="004B6384"/>
          <w:p w14:paraId="493645C9" w14:textId="17628D89" w:rsidR="004B6384" w:rsidRDefault="004B6384" w:rsidP="004B6384">
            <w:pPr>
              <w:jc w:val="left"/>
            </w:pPr>
            <w:r>
              <w:t>Committee m</w:t>
            </w:r>
            <w:r w:rsidRPr="00F24176">
              <w:t xml:space="preserve">embers mentioned that if CCEW are </w:t>
            </w:r>
            <w:r>
              <w:t xml:space="preserve">considering </w:t>
            </w:r>
            <w:r w:rsidRPr="00F24176">
              <w:t>drafting example trustee report disclosures then they may be able to suggest good examples.</w:t>
            </w:r>
          </w:p>
          <w:p w14:paraId="3ADC718C" w14:textId="77777777" w:rsidR="004B6384" w:rsidRDefault="004B6384" w:rsidP="004B6384">
            <w:pPr>
              <w:jc w:val="left"/>
            </w:pPr>
          </w:p>
          <w:p w14:paraId="5E30ED58" w14:textId="77777777" w:rsidR="004B6384" w:rsidRDefault="004B6384" w:rsidP="004B6384">
            <w:pPr>
              <w:jc w:val="left"/>
            </w:pPr>
            <w:r>
              <w:t xml:space="preserve">Members were invited to propose online examples and send them to CIPFA. </w:t>
            </w:r>
          </w:p>
          <w:p w14:paraId="4566E300" w14:textId="539D8CD7" w:rsidR="004B6384" w:rsidRDefault="004B6384" w:rsidP="004B6384">
            <w:pPr>
              <w:jc w:val="left"/>
            </w:pPr>
          </w:p>
        </w:tc>
        <w:tc>
          <w:tcPr>
            <w:tcW w:w="1524" w:type="dxa"/>
            <w:vAlign w:val="center"/>
          </w:tcPr>
          <w:p w14:paraId="1C99E24F" w14:textId="77777777" w:rsidR="004C1879" w:rsidRDefault="004C1879"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568BB136" w14:textId="77777777" w:rsidR="004C1879" w:rsidRDefault="004C1879"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481A4D84" w14:textId="77777777" w:rsidR="004C1879" w:rsidRDefault="004C1879"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341CA62F" w14:textId="77777777" w:rsidR="004C1879" w:rsidRDefault="004C1879"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4A201BC3" w14:textId="77777777" w:rsidR="004C1879" w:rsidRDefault="004C1879"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4CD5D4A4" w14:textId="77777777" w:rsidR="004C1879" w:rsidRDefault="004C1879"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424B7863" w14:textId="77777777" w:rsidR="004C1879" w:rsidRDefault="004C1879"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391DFB62" w14:textId="77777777" w:rsidR="004B6384" w:rsidRPr="006513B9" w:rsidRDefault="004B6384"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r w:rsidRPr="006513B9">
              <w:rPr>
                <w:rFonts w:eastAsiaTheme="minorEastAsia" w:cs="Times New Roman"/>
                <w:b/>
                <w:lang w:eastAsia="en-GB"/>
              </w:rPr>
              <w:t>Committee</w:t>
            </w:r>
          </w:p>
          <w:p w14:paraId="171F503E"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4B6384" w:rsidRPr="00E7339A" w14:paraId="3742767E" w14:textId="77777777" w:rsidTr="00917165">
        <w:trPr>
          <w:trHeight w:val="157"/>
        </w:trPr>
        <w:tc>
          <w:tcPr>
            <w:tcW w:w="885" w:type="dxa"/>
          </w:tcPr>
          <w:p w14:paraId="28B2482C" w14:textId="2FA0F42D" w:rsidR="004B6384" w:rsidRPr="002A3405"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7.</w:t>
            </w:r>
            <w:r w:rsidR="00A87BAD">
              <w:rPr>
                <w:rFonts w:eastAsiaTheme="minorEastAsia" w:cs="Times New Roman"/>
                <w:lang w:eastAsia="en-GB"/>
              </w:rPr>
              <w:t>5</w:t>
            </w:r>
          </w:p>
        </w:tc>
        <w:tc>
          <w:tcPr>
            <w:tcW w:w="7831" w:type="dxa"/>
          </w:tcPr>
          <w:p w14:paraId="3C19CC7A" w14:textId="2773038E" w:rsidR="004B6384" w:rsidRDefault="004B6384" w:rsidP="004B6384">
            <w:pPr>
              <w:jc w:val="left"/>
            </w:pPr>
            <w:r>
              <w:t>A member enquired whether there could be clarification of serious incident (SI) reporting requirements and the impact of the COVID-19 pandemic.  Many charities are experiencing falls in income in excess of 25% which would normally require a SI report.</w:t>
            </w:r>
          </w:p>
          <w:p w14:paraId="16D5650D" w14:textId="77777777" w:rsidR="004B6384" w:rsidRDefault="004B6384" w:rsidP="004B6384">
            <w:pPr>
              <w:pStyle w:val="ListParagraph"/>
            </w:pPr>
          </w:p>
          <w:p w14:paraId="340CDB7A" w14:textId="696A6A58" w:rsidR="004B6384" w:rsidRDefault="004B6384" w:rsidP="004B6384">
            <w:pPr>
              <w:jc w:val="left"/>
            </w:pPr>
            <w:r w:rsidRPr="00F24176">
              <w:t xml:space="preserve">The Chairs noted the concern and that </w:t>
            </w:r>
            <w:r>
              <w:t>SI</w:t>
            </w:r>
            <w:r w:rsidRPr="00F24176">
              <w:t xml:space="preserve"> or notifiable event reporting had different definitions and requirements in different jurisdictions. It is not relevant in</w:t>
            </w:r>
            <w:r w:rsidR="008D3306">
              <w:t xml:space="preserve"> the Republic of</w:t>
            </w:r>
            <w:r w:rsidRPr="00F24176">
              <w:t xml:space="preserve"> Ireland where the </w:t>
            </w:r>
            <w:r>
              <w:t>c</w:t>
            </w:r>
            <w:r w:rsidRPr="00F24176">
              <w:t xml:space="preserve">harity </w:t>
            </w:r>
            <w:r>
              <w:t>r</w:t>
            </w:r>
            <w:r w:rsidRPr="00F24176">
              <w:t xml:space="preserve">eports and </w:t>
            </w:r>
            <w:r>
              <w:t>accounting r</w:t>
            </w:r>
            <w:r w:rsidRPr="00F24176">
              <w:t xml:space="preserve">egulations are yet to be formally adopted into law. </w:t>
            </w:r>
          </w:p>
          <w:p w14:paraId="557D2055" w14:textId="77777777" w:rsidR="004B6384" w:rsidRDefault="004B6384" w:rsidP="004B6384">
            <w:pPr>
              <w:jc w:val="left"/>
            </w:pPr>
          </w:p>
          <w:p w14:paraId="4CC43A17" w14:textId="2B7DD826" w:rsidR="004B6384" w:rsidRDefault="004B6384" w:rsidP="004B6384">
            <w:pPr>
              <w:jc w:val="left"/>
            </w:pPr>
            <w:r w:rsidRPr="00F24176">
              <w:lastRenderedPageBreak/>
              <w:t xml:space="preserve">In </w:t>
            </w:r>
            <w:proofErr w:type="gramStart"/>
            <w:r w:rsidRPr="00F24176">
              <w:t xml:space="preserve">all </w:t>
            </w:r>
            <w:r>
              <w:t>of</w:t>
            </w:r>
            <w:proofErr w:type="gramEnd"/>
            <w:r>
              <w:t xml:space="preserve"> the jurisdictions where SI reporting</w:t>
            </w:r>
            <w:r w:rsidRPr="00F24176">
              <w:t xml:space="preserve"> applies, the regime had not been intended to cover the impact of pandemics. In Scotland research has been undertaken into the impact of the pandemic on </w:t>
            </w:r>
            <w:r w:rsidR="000A1C6A">
              <w:t>charities</w:t>
            </w:r>
            <w:r w:rsidRPr="00F24176">
              <w:t>. Further consideration will be given to issuing clarification for charities, auditors and independent examiners on this soon.</w:t>
            </w:r>
          </w:p>
          <w:p w14:paraId="5A879301" w14:textId="6935CD69" w:rsidR="00A87BAD" w:rsidRPr="00F24176" w:rsidRDefault="00A87BAD" w:rsidP="004B6384">
            <w:pPr>
              <w:jc w:val="left"/>
            </w:pPr>
          </w:p>
        </w:tc>
        <w:tc>
          <w:tcPr>
            <w:tcW w:w="1524" w:type="dxa"/>
            <w:vAlign w:val="center"/>
          </w:tcPr>
          <w:p w14:paraId="306BFF26"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p w14:paraId="3A28110C"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p w14:paraId="2E22D4B3"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p w14:paraId="09469A9E"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p w14:paraId="3B0BF63F"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54F2ADF8"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1E1F7118" w14:textId="7D3D7DB1" w:rsidR="004B6384" w:rsidRPr="006513B9" w:rsidRDefault="004B6384"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p>
        </w:tc>
      </w:tr>
      <w:tr w:rsidR="004B6384" w:rsidRPr="00E7339A" w14:paraId="1B421F1E" w14:textId="77777777" w:rsidTr="00917165">
        <w:trPr>
          <w:trHeight w:val="157"/>
        </w:trPr>
        <w:tc>
          <w:tcPr>
            <w:tcW w:w="885" w:type="dxa"/>
          </w:tcPr>
          <w:p w14:paraId="1BDBE950" w14:textId="13926271" w:rsidR="004B6384" w:rsidDel="00425C28" w:rsidRDefault="004B6384"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lastRenderedPageBreak/>
              <w:t>8</w:t>
            </w:r>
          </w:p>
        </w:tc>
        <w:tc>
          <w:tcPr>
            <w:tcW w:w="7831" w:type="dxa"/>
          </w:tcPr>
          <w:p w14:paraId="28D9C219" w14:textId="77777777" w:rsidR="004B6384" w:rsidRPr="00363092" w:rsidRDefault="004B6384" w:rsidP="004B6384">
            <w:pPr>
              <w:jc w:val="left"/>
              <w:rPr>
                <w:b/>
              </w:rPr>
            </w:pPr>
            <w:r>
              <w:rPr>
                <w:b/>
              </w:rPr>
              <w:t>Dates of future meetings</w:t>
            </w:r>
          </w:p>
          <w:p w14:paraId="5E9271B6" w14:textId="77777777" w:rsidR="004B6384" w:rsidRPr="00894FE1" w:rsidDel="007A2700" w:rsidRDefault="004B6384" w:rsidP="004B6384">
            <w:pPr>
              <w:jc w:val="left"/>
            </w:pPr>
          </w:p>
        </w:tc>
        <w:tc>
          <w:tcPr>
            <w:tcW w:w="1524" w:type="dxa"/>
            <w:vAlign w:val="center"/>
          </w:tcPr>
          <w:p w14:paraId="3321302E"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4B6384" w:rsidRPr="00E7339A" w14:paraId="4878C31B" w14:textId="77777777" w:rsidTr="00917165">
        <w:trPr>
          <w:trHeight w:val="157"/>
        </w:trPr>
        <w:tc>
          <w:tcPr>
            <w:tcW w:w="885" w:type="dxa"/>
          </w:tcPr>
          <w:p w14:paraId="1DFB464D" w14:textId="5AE2AACC" w:rsidR="004B6384" w:rsidRPr="002B6DDB"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r w:rsidRPr="002B6DDB">
              <w:rPr>
                <w:rFonts w:eastAsiaTheme="minorEastAsia" w:cs="Times New Roman"/>
                <w:lang w:eastAsia="en-GB"/>
              </w:rPr>
              <w:t>8.1</w:t>
            </w:r>
          </w:p>
        </w:tc>
        <w:tc>
          <w:tcPr>
            <w:tcW w:w="7831" w:type="dxa"/>
          </w:tcPr>
          <w:p w14:paraId="765D455B" w14:textId="4473A99F" w:rsidR="004B6384" w:rsidRDefault="004B6384" w:rsidP="004B6384">
            <w:pPr>
              <w:jc w:val="left"/>
            </w:pPr>
            <w:r w:rsidRPr="00917165">
              <w:t xml:space="preserve">These </w:t>
            </w:r>
            <w:r w:rsidR="00A87BAD">
              <w:t>are:</w:t>
            </w:r>
          </w:p>
          <w:p w14:paraId="2B596029" w14:textId="77777777" w:rsidR="004B6384" w:rsidRDefault="004B6384" w:rsidP="004B6384">
            <w:pPr>
              <w:jc w:val="left"/>
            </w:pPr>
          </w:p>
          <w:p w14:paraId="1ECAD78B" w14:textId="67561F75" w:rsidR="004B6384" w:rsidRDefault="004B6384" w:rsidP="004B6384">
            <w:pPr>
              <w:pStyle w:val="ListParagraph"/>
              <w:numPr>
                <w:ilvl w:val="0"/>
                <w:numId w:val="46"/>
              </w:numPr>
              <w:jc w:val="left"/>
            </w:pPr>
            <w:r>
              <w:t>2 July 2020 - Microsoft Teams meeting</w:t>
            </w:r>
          </w:p>
          <w:p w14:paraId="0190E822" w14:textId="2007386F" w:rsidR="004B6384" w:rsidRDefault="004B6384" w:rsidP="004B6384">
            <w:pPr>
              <w:pStyle w:val="ListParagraph"/>
              <w:numPr>
                <w:ilvl w:val="0"/>
                <w:numId w:val="46"/>
              </w:numPr>
              <w:jc w:val="left"/>
            </w:pPr>
            <w:r>
              <w:t>2</w:t>
            </w:r>
            <w:r w:rsidR="000A1C6A">
              <w:t>2</w:t>
            </w:r>
            <w:r>
              <w:t xml:space="preserve"> October 2020 - London</w:t>
            </w:r>
          </w:p>
          <w:p w14:paraId="646E8B31" w14:textId="4F726E9D" w:rsidR="004B6384" w:rsidRDefault="004B6384" w:rsidP="004B6384">
            <w:pPr>
              <w:pStyle w:val="ListParagraph"/>
              <w:numPr>
                <w:ilvl w:val="0"/>
                <w:numId w:val="46"/>
              </w:numPr>
              <w:jc w:val="left"/>
            </w:pPr>
            <w:r>
              <w:t>17 November 2020 - Dublin.</w:t>
            </w:r>
          </w:p>
          <w:p w14:paraId="66BBB062" w14:textId="77777777" w:rsidR="004B6384" w:rsidRDefault="004B6384" w:rsidP="004B6384">
            <w:pPr>
              <w:jc w:val="left"/>
            </w:pPr>
          </w:p>
          <w:p w14:paraId="4BC4C9A5" w14:textId="02E04395" w:rsidR="004B6384" w:rsidRPr="00917165" w:rsidRDefault="004B6384" w:rsidP="004B6384">
            <w:pPr>
              <w:jc w:val="left"/>
            </w:pPr>
          </w:p>
        </w:tc>
        <w:tc>
          <w:tcPr>
            <w:tcW w:w="1524" w:type="dxa"/>
            <w:vAlign w:val="center"/>
          </w:tcPr>
          <w:p w14:paraId="7DC63704" w14:textId="77777777"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p w14:paraId="57789854" w14:textId="48EA1DBB" w:rsidR="004B6384" w:rsidRDefault="004B6384"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tc>
      </w:tr>
    </w:tbl>
    <w:p w14:paraId="52F4E0A5" w14:textId="7FDED431" w:rsidR="00CA7C42" w:rsidRPr="003908F7" w:rsidRDefault="00CA7C42" w:rsidP="0040248A">
      <w:pPr>
        <w:spacing w:before="100" w:beforeAutospacing="1" w:after="100" w:afterAutospacing="1"/>
        <w:jc w:val="left"/>
        <w:rPr>
          <w:rFonts w:cs="Times New Roman"/>
        </w:rPr>
      </w:pPr>
    </w:p>
    <w:sectPr w:rsidR="00CA7C42" w:rsidRPr="003908F7" w:rsidSect="00FB30A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418" w:left="1418" w:header="936"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3F8E" w14:textId="77777777" w:rsidR="002A353F" w:rsidRDefault="002A353F">
      <w:r>
        <w:separator/>
      </w:r>
    </w:p>
  </w:endnote>
  <w:endnote w:type="continuationSeparator" w:id="0">
    <w:p w14:paraId="1EFC34AD" w14:textId="77777777" w:rsidR="002A353F" w:rsidRDefault="002A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Lola Medium">
    <w:altName w:val="Courier New"/>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7E2D" w14:textId="77777777" w:rsidR="00065662" w:rsidRDefault="00065662" w:rsidP="00411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C4AB4" w14:textId="77777777" w:rsidR="00065662" w:rsidRDefault="0006566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940308"/>
      <w:docPartObj>
        <w:docPartGallery w:val="Page Numbers (Bottom of Page)"/>
        <w:docPartUnique/>
      </w:docPartObj>
    </w:sdtPr>
    <w:sdtEndPr>
      <w:rPr>
        <w:noProof/>
      </w:rPr>
    </w:sdtEndPr>
    <w:sdtContent>
      <w:p w14:paraId="433064FD" w14:textId="5B2849AF" w:rsidR="00065662" w:rsidRDefault="00065662">
        <w:pPr>
          <w:pStyle w:val="Footer"/>
          <w:jc w:val="center"/>
        </w:pPr>
        <w:r>
          <w:fldChar w:fldCharType="begin"/>
        </w:r>
        <w:r>
          <w:instrText xml:space="preserve"> PAGE   \* MERGEFORMAT </w:instrText>
        </w:r>
        <w:r>
          <w:fldChar w:fldCharType="separate"/>
        </w:r>
        <w:r w:rsidR="002B6DDB">
          <w:rPr>
            <w:noProof/>
          </w:rPr>
          <w:t>7</w:t>
        </w:r>
        <w:r>
          <w:rPr>
            <w:noProof/>
          </w:rPr>
          <w:fldChar w:fldCharType="end"/>
        </w:r>
      </w:p>
    </w:sdtContent>
  </w:sdt>
  <w:p w14:paraId="329F1DD2" w14:textId="77777777" w:rsidR="00065662" w:rsidRDefault="00065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16371"/>
      <w:docPartObj>
        <w:docPartGallery w:val="Page Numbers (Bottom of Page)"/>
        <w:docPartUnique/>
      </w:docPartObj>
    </w:sdtPr>
    <w:sdtEndPr>
      <w:rPr>
        <w:noProof/>
      </w:rPr>
    </w:sdtEndPr>
    <w:sdtContent>
      <w:p w14:paraId="67A91756" w14:textId="03CC6D1A" w:rsidR="00065662" w:rsidRDefault="00065662">
        <w:pPr>
          <w:pStyle w:val="Footer"/>
          <w:jc w:val="center"/>
        </w:pPr>
        <w:r>
          <w:fldChar w:fldCharType="begin"/>
        </w:r>
        <w:r>
          <w:instrText xml:space="preserve"> PAGE   \* MERGEFORMAT </w:instrText>
        </w:r>
        <w:r>
          <w:fldChar w:fldCharType="separate"/>
        </w:r>
        <w:r w:rsidR="002B6DDB">
          <w:rPr>
            <w:noProof/>
          </w:rPr>
          <w:t>1</w:t>
        </w:r>
        <w:r>
          <w:rPr>
            <w:noProof/>
          </w:rPr>
          <w:fldChar w:fldCharType="end"/>
        </w:r>
      </w:p>
    </w:sdtContent>
  </w:sdt>
  <w:p w14:paraId="5CF11D2D" w14:textId="77777777" w:rsidR="00065662" w:rsidRDefault="0006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13DFE" w14:textId="77777777" w:rsidR="002A353F" w:rsidRDefault="002A353F">
      <w:r>
        <w:separator/>
      </w:r>
    </w:p>
  </w:footnote>
  <w:footnote w:type="continuationSeparator" w:id="0">
    <w:p w14:paraId="6D89C073" w14:textId="77777777" w:rsidR="002A353F" w:rsidRDefault="002A3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E608" w14:textId="2AA4C3D3" w:rsidR="00065662" w:rsidRDefault="00065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535E" w14:textId="0DF946D7" w:rsidR="00065662" w:rsidRDefault="00065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73C4" w14:textId="074CDC1C" w:rsidR="00065662" w:rsidRPr="009F0F84" w:rsidRDefault="00065662" w:rsidP="00C33091">
    <w:pPr>
      <w:pStyle w:val="Header"/>
      <w:jc w:val="right"/>
    </w:pPr>
    <w:r>
      <w:rPr>
        <w:noProof/>
        <w:lang w:eastAsia="en-GB"/>
      </w:rPr>
      <w:drawing>
        <wp:anchor distT="0" distB="0" distL="114300" distR="114300" simplePos="0" relativeHeight="251657216" behindDoc="1" locked="0" layoutInCell="1" allowOverlap="1" wp14:anchorId="374769CD" wp14:editId="49B29FEF">
          <wp:simplePos x="0" y="0"/>
          <wp:positionH relativeFrom="column">
            <wp:posOffset>-914400</wp:posOffset>
          </wp:positionH>
          <wp:positionV relativeFrom="paragraph">
            <wp:posOffset>-608330</wp:posOffset>
          </wp:positionV>
          <wp:extent cx="7602220" cy="1257300"/>
          <wp:effectExtent l="0" t="0" r="0" b="0"/>
          <wp:wrapNone/>
          <wp:docPr id="1" name="Picture 1" descr="corporate ful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full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257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B7415"/>
    <w:multiLevelType w:val="hybridMultilevel"/>
    <w:tmpl w:val="050C1E94"/>
    <w:lvl w:ilvl="0" w:tplc="08090001">
      <w:start w:val="1"/>
      <w:numFmt w:val="bullet"/>
      <w:lvlText w:val=""/>
      <w:lvlJc w:val="left"/>
      <w:pPr>
        <w:ind w:left="647" w:hanging="360"/>
      </w:pPr>
      <w:rPr>
        <w:rFonts w:ascii="Symbol" w:hAnsi="Symbol"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11" w15:restartNumberingAfterBreak="0">
    <w:nsid w:val="04722806"/>
    <w:multiLevelType w:val="hybridMultilevel"/>
    <w:tmpl w:val="61D0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FB30C1"/>
    <w:multiLevelType w:val="hybridMultilevel"/>
    <w:tmpl w:val="6EB6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84CD2"/>
    <w:multiLevelType w:val="hybridMultilevel"/>
    <w:tmpl w:val="97BEE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B4C1D29"/>
    <w:multiLevelType w:val="hybridMultilevel"/>
    <w:tmpl w:val="DECE2AAA"/>
    <w:lvl w:ilvl="0" w:tplc="08090001">
      <w:start w:val="1"/>
      <w:numFmt w:val="bullet"/>
      <w:lvlText w:val=""/>
      <w:lvlJc w:val="left"/>
      <w:pPr>
        <w:ind w:left="647" w:hanging="360"/>
      </w:pPr>
      <w:rPr>
        <w:rFonts w:ascii="Symbol" w:hAnsi="Symbol"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15" w15:restartNumberingAfterBreak="0">
    <w:nsid w:val="0B6C5B6A"/>
    <w:multiLevelType w:val="hybridMultilevel"/>
    <w:tmpl w:val="FB34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495308"/>
    <w:multiLevelType w:val="hybridMultilevel"/>
    <w:tmpl w:val="69F687D4"/>
    <w:lvl w:ilvl="0" w:tplc="F4FCFB8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12AC9"/>
    <w:multiLevelType w:val="hybridMultilevel"/>
    <w:tmpl w:val="F426D7DA"/>
    <w:lvl w:ilvl="0" w:tplc="5DC48B1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134016"/>
    <w:multiLevelType w:val="hybridMultilevel"/>
    <w:tmpl w:val="7C9E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50CF7"/>
    <w:multiLevelType w:val="hybridMultilevel"/>
    <w:tmpl w:val="3A38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10BBD"/>
    <w:multiLevelType w:val="hybridMultilevel"/>
    <w:tmpl w:val="FA3EB9C0"/>
    <w:lvl w:ilvl="0" w:tplc="A9DAB7B2">
      <w:start w:val="1"/>
      <w:numFmt w:val="bullet"/>
      <w:lvlText w:val=""/>
      <w:lvlJc w:val="left"/>
      <w:pPr>
        <w:ind w:left="647" w:hanging="360"/>
      </w:pPr>
      <w:rPr>
        <w:rFonts w:ascii="Symbol" w:hAnsi="Symbol"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21" w15:restartNumberingAfterBreak="0">
    <w:nsid w:val="394F3935"/>
    <w:multiLevelType w:val="hybridMultilevel"/>
    <w:tmpl w:val="EFBA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E50463"/>
    <w:multiLevelType w:val="hybridMultilevel"/>
    <w:tmpl w:val="0666BE1E"/>
    <w:lvl w:ilvl="0" w:tplc="A9DAB7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351AD"/>
    <w:multiLevelType w:val="hybridMultilevel"/>
    <w:tmpl w:val="580E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57836"/>
    <w:multiLevelType w:val="multilevel"/>
    <w:tmpl w:val="E91677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2C54E25"/>
    <w:multiLevelType w:val="hybridMultilevel"/>
    <w:tmpl w:val="66B0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A2628"/>
    <w:multiLevelType w:val="hybridMultilevel"/>
    <w:tmpl w:val="FCF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68247B"/>
    <w:multiLevelType w:val="hybridMultilevel"/>
    <w:tmpl w:val="61B02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F245B6"/>
    <w:multiLevelType w:val="hybridMultilevel"/>
    <w:tmpl w:val="365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76620"/>
    <w:multiLevelType w:val="hybridMultilevel"/>
    <w:tmpl w:val="92D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04706"/>
    <w:multiLevelType w:val="hybridMultilevel"/>
    <w:tmpl w:val="F09A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F5B41"/>
    <w:multiLevelType w:val="hybridMultilevel"/>
    <w:tmpl w:val="17DE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34FA8"/>
    <w:multiLevelType w:val="hybridMultilevel"/>
    <w:tmpl w:val="54AE1A42"/>
    <w:lvl w:ilvl="0" w:tplc="A9DAB7B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CF57BC"/>
    <w:multiLevelType w:val="hybridMultilevel"/>
    <w:tmpl w:val="280C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4078D6"/>
    <w:multiLevelType w:val="hybridMultilevel"/>
    <w:tmpl w:val="07FC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D743D"/>
    <w:multiLevelType w:val="hybridMultilevel"/>
    <w:tmpl w:val="411E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9418F0"/>
    <w:multiLevelType w:val="hybridMultilevel"/>
    <w:tmpl w:val="9A1A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AA566E"/>
    <w:multiLevelType w:val="hybridMultilevel"/>
    <w:tmpl w:val="94A8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44612"/>
    <w:multiLevelType w:val="hybridMultilevel"/>
    <w:tmpl w:val="F01A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941EE"/>
    <w:multiLevelType w:val="hybridMultilevel"/>
    <w:tmpl w:val="ECE0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0009A"/>
    <w:multiLevelType w:val="hybridMultilevel"/>
    <w:tmpl w:val="5F98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1C2FD6"/>
    <w:multiLevelType w:val="hybridMultilevel"/>
    <w:tmpl w:val="57967AE2"/>
    <w:lvl w:ilvl="0" w:tplc="EADCA12A">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F113D"/>
    <w:multiLevelType w:val="hybridMultilevel"/>
    <w:tmpl w:val="D4BA5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5"/>
  </w:num>
  <w:num w:numId="13">
    <w:abstractNumId w:val="26"/>
  </w:num>
  <w:num w:numId="14">
    <w:abstractNumId w:val="31"/>
  </w:num>
  <w:num w:numId="15">
    <w:abstractNumId w:val="40"/>
  </w:num>
  <w:num w:numId="16">
    <w:abstractNumId w:val="30"/>
  </w:num>
  <w:num w:numId="17">
    <w:abstractNumId w:val="2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8"/>
  </w:num>
  <w:num w:numId="23">
    <w:abstractNumId w:val="11"/>
  </w:num>
  <w:num w:numId="24">
    <w:abstractNumId w:val="28"/>
  </w:num>
  <w:num w:numId="25">
    <w:abstractNumId w:val="23"/>
  </w:num>
  <w:num w:numId="26">
    <w:abstractNumId w:val="13"/>
  </w:num>
  <w:num w:numId="27">
    <w:abstractNumId w:val="41"/>
  </w:num>
  <w:num w:numId="28">
    <w:abstractNumId w:val="42"/>
  </w:num>
  <w:num w:numId="29">
    <w:abstractNumId w:val="39"/>
  </w:num>
  <w:num w:numId="30">
    <w:abstractNumId w:val="33"/>
  </w:num>
  <w:num w:numId="31">
    <w:abstractNumId w:val="16"/>
  </w:num>
  <w:num w:numId="32">
    <w:abstractNumId w:val="32"/>
  </w:num>
  <w:num w:numId="33">
    <w:abstractNumId w:val="22"/>
  </w:num>
  <w:num w:numId="34">
    <w:abstractNumId w:val="20"/>
  </w:num>
  <w:num w:numId="35">
    <w:abstractNumId w:val="14"/>
  </w:num>
  <w:num w:numId="36">
    <w:abstractNumId w:val="10"/>
  </w:num>
  <w:num w:numId="37">
    <w:abstractNumId w:val="35"/>
  </w:num>
  <w:num w:numId="38">
    <w:abstractNumId w:val="21"/>
  </w:num>
  <w:num w:numId="39">
    <w:abstractNumId w:val="38"/>
  </w:num>
  <w:num w:numId="40">
    <w:abstractNumId w:val="27"/>
  </w:num>
  <w:num w:numId="41">
    <w:abstractNumId w:val="17"/>
  </w:num>
  <w:num w:numId="42">
    <w:abstractNumId w:val="12"/>
  </w:num>
  <w:num w:numId="43">
    <w:abstractNumId w:val="36"/>
  </w:num>
  <w:num w:numId="44">
    <w:abstractNumId w:val="37"/>
  </w:num>
  <w:num w:numId="45">
    <w:abstractNumId w:val="34"/>
  </w:num>
  <w:num w:numId="46">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E9"/>
    <w:rsid w:val="00001B73"/>
    <w:rsid w:val="00001BEC"/>
    <w:rsid w:val="00002B48"/>
    <w:rsid w:val="000040EE"/>
    <w:rsid w:val="00004909"/>
    <w:rsid w:val="000051AF"/>
    <w:rsid w:val="000057A7"/>
    <w:rsid w:val="00005BB1"/>
    <w:rsid w:val="00006588"/>
    <w:rsid w:val="00007CD9"/>
    <w:rsid w:val="000117D6"/>
    <w:rsid w:val="00011E26"/>
    <w:rsid w:val="00012C80"/>
    <w:rsid w:val="00013098"/>
    <w:rsid w:val="00014836"/>
    <w:rsid w:val="00014946"/>
    <w:rsid w:val="000177B4"/>
    <w:rsid w:val="00017DA8"/>
    <w:rsid w:val="00020842"/>
    <w:rsid w:val="00020B1F"/>
    <w:rsid w:val="00021040"/>
    <w:rsid w:val="00021E6D"/>
    <w:rsid w:val="00022145"/>
    <w:rsid w:val="00022530"/>
    <w:rsid w:val="00022658"/>
    <w:rsid w:val="0002323E"/>
    <w:rsid w:val="00023655"/>
    <w:rsid w:val="00024355"/>
    <w:rsid w:val="0002496E"/>
    <w:rsid w:val="00030BC8"/>
    <w:rsid w:val="00031A13"/>
    <w:rsid w:val="00031B8C"/>
    <w:rsid w:val="00031FAE"/>
    <w:rsid w:val="000327AF"/>
    <w:rsid w:val="00033C72"/>
    <w:rsid w:val="000349CF"/>
    <w:rsid w:val="00034D3E"/>
    <w:rsid w:val="00034D8D"/>
    <w:rsid w:val="00036ECE"/>
    <w:rsid w:val="0004044C"/>
    <w:rsid w:val="00041D7D"/>
    <w:rsid w:val="00043AB0"/>
    <w:rsid w:val="00045227"/>
    <w:rsid w:val="00046040"/>
    <w:rsid w:val="000468CA"/>
    <w:rsid w:val="000471F4"/>
    <w:rsid w:val="00047A03"/>
    <w:rsid w:val="00053760"/>
    <w:rsid w:val="000537B8"/>
    <w:rsid w:val="00056709"/>
    <w:rsid w:val="00057386"/>
    <w:rsid w:val="000601B0"/>
    <w:rsid w:val="00062146"/>
    <w:rsid w:val="00062F71"/>
    <w:rsid w:val="00062FB2"/>
    <w:rsid w:val="000632D7"/>
    <w:rsid w:val="00063BD2"/>
    <w:rsid w:val="00064A12"/>
    <w:rsid w:val="00065662"/>
    <w:rsid w:val="00065B0C"/>
    <w:rsid w:val="00065C4D"/>
    <w:rsid w:val="000662CE"/>
    <w:rsid w:val="000663F3"/>
    <w:rsid w:val="000678D9"/>
    <w:rsid w:val="00067962"/>
    <w:rsid w:val="0007036A"/>
    <w:rsid w:val="00070736"/>
    <w:rsid w:val="00070995"/>
    <w:rsid w:val="00070D6C"/>
    <w:rsid w:val="0007112E"/>
    <w:rsid w:val="00071CC7"/>
    <w:rsid w:val="00072754"/>
    <w:rsid w:val="00073A0E"/>
    <w:rsid w:val="00074E49"/>
    <w:rsid w:val="00076BB5"/>
    <w:rsid w:val="00076E8C"/>
    <w:rsid w:val="00077163"/>
    <w:rsid w:val="00077FDC"/>
    <w:rsid w:val="000806F0"/>
    <w:rsid w:val="00080D70"/>
    <w:rsid w:val="00081285"/>
    <w:rsid w:val="00081873"/>
    <w:rsid w:val="0008191E"/>
    <w:rsid w:val="000821B8"/>
    <w:rsid w:val="000843E9"/>
    <w:rsid w:val="00084C88"/>
    <w:rsid w:val="000856DF"/>
    <w:rsid w:val="00085D6B"/>
    <w:rsid w:val="00086A80"/>
    <w:rsid w:val="00086CD5"/>
    <w:rsid w:val="000879FD"/>
    <w:rsid w:val="00090CB5"/>
    <w:rsid w:val="00091785"/>
    <w:rsid w:val="00091810"/>
    <w:rsid w:val="00092B2C"/>
    <w:rsid w:val="00092B99"/>
    <w:rsid w:val="00092F57"/>
    <w:rsid w:val="00093A34"/>
    <w:rsid w:val="000945F4"/>
    <w:rsid w:val="00094FC5"/>
    <w:rsid w:val="00095773"/>
    <w:rsid w:val="00096267"/>
    <w:rsid w:val="000965E9"/>
    <w:rsid w:val="000A02DF"/>
    <w:rsid w:val="000A06FC"/>
    <w:rsid w:val="000A0E27"/>
    <w:rsid w:val="000A18D4"/>
    <w:rsid w:val="000A1C6A"/>
    <w:rsid w:val="000A5B7F"/>
    <w:rsid w:val="000A6529"/>
    <w:rsid w:val="000A65EE"/>
    <w:rsid w:val="000A7BAC"/>
    <w:rsid w:val="000A7CFF"/>
    <w:rsid w:val="000B0957"/>
    <w:rsid w:val="000B2CC4"/>
    <w:rsid w:val="000B333E"/>
    <w:rsid w:val="000B3A61"/>
    <w:rsid w:val="000B48D3"/>
    <w:rsid w:val="000B49DB"/>
    <w:rsid w:val="000B5D2F"/>
    <w:rsid w:val="000B6737"/>
    <w:rsid w:val="000C051D"/>
    <w:rsid w:val="000C1E73"/>
    <w:rsid w:val="000C220D"/>
    <w:rsid w:val="000C4112"/>
    <w:rsid w:val="000C4871"/>
    <w:rsid w:val="000C5A8F"/>
    <w:rsid w:val="000C663B"/>
    <w:rsid w:val="000C749E"/>
    <w:rsid w:val="000C773E"/>
    <w:rsid w:val="000C7BC1"/>
    <w:rsid w:val="000C7DB4"/>
    <w:rsid w:val="000D0E2B"/>
    <w:rsid w:val="000D0F5B"/>
    <w:rsid w:val="000D1063"/>
    <w:rsid w:val="000D39D3"/>
    <w:rsid w:val="000D4DC7"/>
    <w:rsid w:val="000D4EF1"/>
    <w:rsid w:val="000D554E"/>
    <w:rsid w:val="000D7647"/>
    <w:rsid w:val="000D7D76"/>
    <w:rsid w:val="000E1928"/>
    <w:rsid w:val="000E27BC"/>
    <w:rsid w:val="000E2AE0"/>
    <w:rsid w:val="000E34F3"/>
    <w:rsid w:val="000E422C"/>
    <w:rsid w:val="000E4872"/>
    <w:rsid w:val="000F0879"/>
    <w:rsid w:val="000F2DE6"/>
    <w:rsid w:val="000F3159"/>
    <w:rsid w:val="000F3672"/>
    <w:rsid w:val="000F3DC5"/>
    <w:rsid w:val="000F413B"/>
    <w:rsid w:val="000F4553"/>
    <w:rsid w:val="000F47AF"/>
    <w:rsid w:val="000F52E6"/>
    <w:rsid w:val="000F5D0C"/>
    <w:rsid w:val="000F6179"/>
    <w:rsid w:val="000F67F9"/>
    <w:rsid w:val="000F6F0F"/>
    <w:rsid w:val="001002E6"/>
    <w:rsid w:val="00100C3F"/>
    <w:rsid w:val="00100D5B"/>
    <w:rsid w:val="001011D8"/>
    <w:rsid w:val="00102416"/>
    <w:rsid w:val="00102638"/>
    <w:rsid w:val="001040EB"/>
    <w:rsid w:val="00104125"/>
    <w:rsid w:val="00105799"/>
    <w:rsid w:val="001062B3"/>
    <w:rsid w:val="0010699E"/>
    <w:rsid w:val="0011040B"/>
    <w:rsid w:val="0011174A"/>
    <w:rsid w:val="001121DB"/>
    <w:rsid w:val="001127A4"/>
    <w:rsid w:val="00113314"/>
    <w:rsid w:val="00113456"/>
    <w:rsid w:val="001138D0"/>
    <w:rsid w:val="00113A3A"/>
    <w:rsid w:val="00113F92"/>
    <w:rsid w:val="00114A2E"/>
    <w:rsid w:val="0011540B"/>
    <w:rsid w:val="00115497"/>
    <w:rsid w:val="001157A7"/>
    <w:rsid w:val="00115908"/>
    <w:rsid w:val="00115DF7"/>
    <w:rsid w:val="00117A19"/>
    <w:rsid w:val="00117DC6"/>
    <w:rsid w:val="001200F0"/>
    <w:rsid w:val="00122921"/>
    <w:rsid w:val="0012307F"/>
    <w:rsid w:val="00123457"/>
    <w:rsid w:val="0012432A"/>
    <w:rsid w:val="001248C6"/>
    <w:rsid w:val="00124D7B"/>
    <w:rsid w:val="001258F5"/>
    <w:rsid w:val="00125CB3"/>
    <w:rsid w:val="00125EEA"/>
    <w:rsid w:val="00126483"/>
    <w:rsid w:val="00126543"/>
    <w:rsid w:val="001276D2"/>
    <w:rsid w:val="001276E9"/>
    <w:rsid w:val="00127A45"/>
    <w:rsid w:val="0013070B"/>
    <w:rsid w:val="001325AC"/>
    <w:rsid w:val="00133370"/>
    <w:rsid w:val="0013384F"/>
    <w:rsid w:val="00135459"/>
    <w:rsid w:val="00136919"/>
    <w:rsid w:val="00141C0A"/>
    <w:rsid w:val="00141D98"/>
    <w:rsid w:val="00141FE2"/>
    <w:rsid w:val="001423A9"/>
    <w:rsid w:val="001426C7"/>
    <w:rsid w:val="001428E3"/>
    <w:rsid w:val="00143B64"/>
    <w:rsid w:val="0014446D"/>
    <w:rsid w:val="00144916"/>
    <w:rsid w:val="00145646"/>
    <w:rsid w:val="00145D27"/>
    <w:rsid w:val="00145ED9"/>
    <w:rsid w:val="00146799"/>
    <w:rsid w:val="00147515"/>
    <w:rsid w:val="00151C98"/>
    <w:rsid w:val="0015242B"/>
    <w:rsid w:val="001528A4"/>
    <w:rsid w:val="00153239"/>
    <w:rsid w:val="00153633"/>
    <w:rsid w:val="001548FC"/>
    <w:rsid w:val="001569AC"/>
    <w:rsid w:val="0015752F"/>
    <w:rsid w:val="0015787A"/>
    <w:rsid w:val="001604C3"/>
    <w:rsid w:val="001604F2"/>
    <w:rsid w:val="0016073B"/>
    <w:rsid w:val="0016080A"/>
    <w:rsid w:val="001608DC"/>
    <w:rsid w:val="00160B85"/>
    <w:rsid w:val="00161204"/>
    <w:rsid w:val="0016171C"/>
    <w:rsid w:val="00162761"/>
    <w:rsid w:val="00163AD4"/>
    <w:rsid w:val="00163B3C"/>
    <w:rsid w:val="00163C29"/>
    <w:rsid w:val="00163D52"/>
    <w:rsid w:val="00164116"/>
    <w:rsid w:val="001649A7"/>
    <w:rsid w:val="00164AA9"/>
    <w:rsid w:val="00165F9E"/>
    <w:rsid w:val="001664D9"/>
    <w:rsid w:val="001669F5"/>
    <w:rsid w:val="00166CB1"/>
    <w:rsid w:val="001707B8"/>
    <w:rsid w:val="001709C0"/>
    <w:rsid w:val="00170A11"/>
    <w:rsid w:val="001710EB"/>
    <w:rsid w:val="00172863"/>
    <w:rsid w:val="0017408E"/>
    <w:rsid w:val="00174132"/>
    <w:rsid w:val="00175764"/>
    <w:rsid w:val="00175BA9"/>
    <w:rsid w:val="00176D80"/>
    <w:rsid w:val="00176D9D"/>
    <w:rsid w:val="001812FC"/>
    <w:rsid w:val="00181E92"/>
    <w:rsid w:val="00184E67"/>
    <w:rsid w:val="001850E2"/>
    <w:rsid w:val="0018580A"/>
    <w:rsid w:val="00185EC4"/>
    <w:rsid w:val="00186095"/>
    <w:rsid w:val="0018731E"/>
    <w:rsid w:val="00187CF8"/>
    <w:rsid w:val="00191F8B"/>
    <w:rsid w:val="00197C98"/>
    <w:rsid w:val="001A0247"/>
    <w:rsid w:val="001A228F"/>
    <w:rsid w:val="001A2C43"/>
    <w:rsid w:val="001A2DF8"/>
    <w:rsid w:val="001A2F53"/>
    <w:rsid w:val="001A3454"/>
    <w:rsid w:val="001A38E4"/>
    <w:rsid w:val="001A3977"/>
    <w:rsid w:val="001A6525"/>
    <w:rsid w:val="001A6A52"/>
    <w:rsid w:val="001A7491"/>
    <w:rsid w:val="001A7FC3"/>
    <w:rsid w:val="001B1B5A"/>
    <w:rsid w:val="001B1C54"/>
    <w:rsid w:val="001B1FA7"/>
    <w:rsid w:val="001B413D"/>
    <w:rsid w:val="001B4828"/>
    <w:rsid w:val="001B6656"/>
    <w:rsid w:val="001B78EC"/>
    <w:rsid w:val="001B7AD2"/>
    <w:rsid w:val="001C058B"/>
    <w:rsid w:val="001C064F"/>
    <w:rsid w:val="001C08B6"/>
    <w:rsid w:val="001C1179"/>
    <w:rsid w:val="001C155C"/>
    <w:rsid w:val="001C17B2"/>
    <w:rsid w:val="001C23A1"/>
    <w:rsid w:val="001C29D4"/>
    <w:rsid w:val="001C2EE7"/>
    <w:rsid w:val="001C2FC9"/>
    <w:rsid w:val="001C5EED"/>
    <w:rsid w:val="001C5F60"/>
    <w:rsid w:val="001C6A2F"/>
    <w:rsid w:val="001C7FD3"/>
    <w:rsid w:val="001D0048"/>
    <w:rsid w:val="001D08D6"/>
    <w:rsid w:val="001D216E"/>
    <w:rsid w:val="001D22AE"/>
    <w:rsid w:val="001D4182"/>
    <w:rsid w:val="001D481C"/>
    <w:rsid w:val="001D4D03"/>
    <w:rsid w:val="001D55E3"/>
    <w:rsid w:val="001D58B5"/>
    <w:rsid w:val="001D76F4"/>
    <w:rsid w:val="001E00CE"/>
    <w:rsid w:val="001E127F"/>
    <w:rsid w:val="001E1B40"/>
    <w:rsid w:val="001E1D8F"/>
    <w:rsid w:val="001E32CC"/>
    <w:rsid w:val="001E3328"/>
    <w:rsid w:val="001E522A"/>
    <w:rsid w:val="001E57E7"/>
    <w:rsid w:val="001E5D43"/>
    <w:rsid w:val="001E6421"/>
    <w:rsid w:val="001E7F19"/>
    <w:rsid w:val="001F1F3E"/>
    <w:rsid w:val="001F3330"/>
    <w:rsid w:val="001F4CE6"/>
    <w:rsid w:val="001F5999"/>
    <w:rsid w:val="001F6143"/>
    <w:rsid w:val="001F7F58"/>
    <w:rsid w:val="002002F5"/>
    <w:rsid w:val="00200A03"/>
    <w:rsid w:val="002012A5"/>
    <w:rsid w:val="00202593"/>
    <w:rsid w:val="00203438"/>
    <w:rsid w:val="0020550D"/>
    <w:rsid w:val="00205A7F"/>
    <w:rsid w:val="00205BAA"/>
    <w:rsid w:val="00206732"/>
    <w:rsid w:val="00206D51"/>
    <w:rsid w:val="00211214"/>
    <w:rsid w:val="0021183A"/>
    <w:rsid w:val="00212908"/>
    <w:rsid w:val="00212EEF"/>
    <w:rsid w:val="00213E3A"/>
    <w:rsid w:val="002156E0"/>
    <w:rsid w:val="00215E86"/>
    <w:rsid w:val="002167F6"/>
    <w:rsid w:val="00220D99"/>
    <w:rsid w:val="002210D7"/>
    <w:rsid w:val="00221109"/>
    <w:rsid w:val="00221E4C"/>
    <w:rsid w:val="0022250E"/>
    <w:rsid w:val="00222690"/>
    <w:rsid w:val="002234B0"/>
    <w:rsid w:val="002245F7"/>
    <w:rsid w:val="002255C0"/>
    <w:rsid w:val="00226D46"/>
    <w:rsid w:val="0023079C"/>
    <w:rsid w:val="00230CDA"/>
    <w:rsid w:val="00230EF3"/>
    <w:rsid w:val="00231125"/>
    <w:rsid w:val="00231BCC"/>
    <w:rsid w:val="00232A53"/>
    <w:rsid w:val="00232FF3"/>
    <w:rsid w:val="00233228"/>
    <w:rsid w:val="0023382A"/>
    <w:rsid w:val="00233B25"/>
    <w:rsid w:val="002344D1"/>
    <w:rsid w:val="00234F65"/>
    <w:rsid w:val="00236516"/>
    <w:rsid w:val="0023776F"/>
    <w:rsid w:val="00237C01"/>
    <w:rsid w:val="0024056A"/>
    <w:rsid w:val="00240A8B"/>
    <w:rsid w:val="002427E0"/>
    <w:rsid w:val="002429C8"/>
    <w:rsid w:val="00243054"/>
    <w:rsid w:val="00243C71"/>
    <w:rsid w:val="002442AC"/>
    <w:rsid w:val="00244D1E"/>
    <w:rsid w:val="00245E40"/>
    <w:rsid w:val="0024659E"/>
    <w:rsid w:val="00246C35"/>
    <w:rsid w:val="002477E2"/>
    <w:rsid w:val="00247E06"/>
    <w:rsid w:val="002504D0"/>
    <w:rsid w:val="002512AF"/>
    <w:rsid w:val="002516E9"/>
    <w:rsid w:val="0025224F"/>
    <w:rsid w:val="002528BA"/>
    <w:rsid w:val="00252AE1"/>
    <w:rsid w:val="00254FC0"/>
    <w:rsid w:val="00255291"/>
    <w:rsid w:val="00256D72"/>
    <w:rsid w:val="00257EB7"/>
    <w:rsid w:val="0026076C"/>
    <w:rsid w:val="00261959"/>
    <w:rsid w:val="0026455D"/>
    <w:rsid w:val="002645AC"/>
    <w:rsid w:val="00265B29"/>
    <w:rsid w:val="00265BA0"/>
    <w:rsid w:val="00266159"/>
    <w:rsid w:val="00266701"/>
    <w:rsid w:val="002670CA"/>
    <w:rsid w:val="002672C7"/>
    <w:rsid w:val="0026743C"/>
    <w:rsid w:val="002674DB"/>
    <w:rsid w:val="00267814"/>
    <w:rsid w:val="002679A2"/>
    <w:rsid w:val="00270188"/>
    <w:rsid w:val="00270D4E"/>
    <w:rsid w:val="00271E4D"/>
    <w:rsid w:val="002726B2"/>
    <w:rsid w:val="00272E32"/>
    <w:rsid w:val="00273B52"/>
    <w:rsid w:val="00274593"/>
    <w:rsid w:val="00275ABF"/>
    <w:rsid w:val="00276401"/>
    <w:rsid w:val="00280026"/>
    <w:rsid w:val="00280CB8"/>
    <w:rsid w:val="00281F6F"/>
    <w:rsid w:val="002820DD"/>
    <w:rsid w:val="00282EE9"/>
    <w:rsid w:val="002834AE"/>
    <w:rsid w:val="002837A7"/>
    <w:rsid w:val="00283DB8"/>
    <w:rsid w:val="002840E3"/>
    <w:rsid w:val="00284AE3"/>
    <w:rsid w:val="00284BC9"/>
    <w:rsid w:val="00285D09"/>
    <w:rsid w:val="00285FCE"/>
    <w:rsid w:val="002901CB"/>
    <w:rsid w:val="00290241"/>
    <w:rsid w:val="00290472"/>
    <w:rsid w:val="00290B50"/>
    <w:rsid w:val="002932CF"/>
    <w:rsid w:val="002935ED"/>
    <w:rsid w:val="00293781"/>
    <w:rsid w:val="0029457D"/>
    <w:rsid w:val="00296979"/>
    <w:rsid w:val="00297613"/>
    <w:rsid w:val="00297A8B"/>
    <w:rsid w:val="00297DE0"/>
    <w:rsid w:val="002A16F5"/>
    <w:rsid w:val="002A188A"/>
    <w:rsid w:val="002A1BC6"/>
    <w:rsid w:val="002A3405"/>
    <w:rsid w:val="002A353F"/>
    <w:rsid w:val="002A39FE"/>
    <w:rsid w:val="002A3F71"/>
    <w:rsid w:val="002A4093"/>
    <w:rsid w:val="002A4BFD"/>
    <w:rsid w:val="002A7101"/>
    <w:rsid w:val="002A79CD"/>
    <w:rsid w:val="002B0351"/>
    <w:rsid w:val="002B1C0F"/>
    <w:rsid w:val="002B1C37"/>
    <w:rsid w:val="002B3015"/>
    <w:rsid w:val="002B3F05"/>
    <w:rsid w:val="002B4B6E"/>
    <w:rsid w:val="002B573E"/>
    <w:rsid w:val="002B67ED"/>
    <w:rsid w:val="002B6876"/>
    <w:rsid w:val="002B6DDB"/>
    <w:rsid w:val="002B73CD"/>
    <w:rsid w:val="002B7E9E"/>
    <w:rsid w:val="002C0349"/>
    <w:rsid w:val="002C29BB"/>
    <w:rsid w:val="002C29D2"/>
    <w:rsid w:val="002C4056"/>
    <w:rsid w:val="002C5307"/>
    <w:rsid w:val="002C64C1"/>
    <w:rsid w:val="002C76D7"/>
    <w:rsid w:val="002C78B7"/>
    <w:rsid w:val="002D1C68"/>
    <w:rsid w:val="002D2039"/>
    <w:rsid w:val="002D2513"/>
    <w:rsid w:val="002D2727"/>
    <w:rsid w:val="002D2F1C"/>
    <w:rsid w:val="002D3698"/>
    <w:rsid w:val="002D4A60"/>
    <w:rsid w:val="002D598A"/>
    <w:rsid w:val="002D6233"/>
    <w:rsid w:val="002D6AF8"/>
    <w:rsid w:val="002D6F81"/>
    <w:rsid w:val="002D7054"/>
    <w:rsid w:val="002D7C55"/>
    <w:rsid w:val="002E07CE"/>
    <w:rsid w:val="002E12AF"/>
    <w:rsid w:val="002E1763"/>
    <w:rsid w:val="002E1EA0"/>
    <w:rsid w:val="002E2E10"/>
    <w:rsid w:val="002E319F"/>
    <w:rsid w:val="002E44FA"/>
    <w:rsid w:val="002E518C"/>
    <w:rsid w:val="002E5311"/>
    <w:rsid w:val="002E6564"/>
    <w:rsid w:val="002E7155"/>
    <w:rsid w:val="002F0075"/>
    <w:rsid w:val="002F1CD8"/>
    <w:rsid w:val="002F20C3"/>
    <w:rsid w:val="002F296C"/>
    <w:rsid w:val="002F2B10"/>
    <w:rsid w:val="002F2E0C"/>
    <w:rsid w:val="002F2E11"/>
    <w:rsid w:val="002F393E"/>
    <w:rsid w:val="002F3A45"/>
    <w:rsid w:val="002F5DEB"/>
    <w:rsid w:val="002F6108"/>
    <w:rsid w:val="002F726D"/>
    <w:rsid w:val="002F7331"/>
    <w:rsid w:val="002F7573"/>
    <w:rsid w:val="00300425"/>
    <w:rsid w:val="003028FF"/>
    <w:rsid w:val="00303044"/>
    <w:rsid w:val="003043B2"/>
    <w:rsid w:val="003051BD"/>
    <w:rsid w:val="003069C4"/>
    <w:rsid w:val="0031033F"/>
    <w:rsid w:val="0031050D"/>
    <w:rsid w:val="003114A2"/>
    <w:rsid w:val="003114F3"/>
    <w:rsid w:val="00311698"/>
    <w:rsid w:val="00312170"/>
    <w:rsid w:val="00312AE6"/>
    <w:rsid w:val="00312FDB"/>
    <w:rsid w:val="00314BAC"/>
    <w:rsid w:val="00315D84"/>
    <w:rsid w:val="00316A57"/>
    <w:rsid w:val="00316FFF"/>
    <w:rsid w:val="003203F0"/>
    <w:rsid w:val="00321238"/>
    <w:rsid w:val="00322247"/>
    <w:rsid w:val="003232AB"/>
    <w:rsid w:val="00323C61"/>
    <w:rsid w:val="00323FC1"/>
    <w:rsid w:val="00326D09"/>
    <w:rsid w:val="0032702F"/>
    <w:rsid w:val="0033105A"/>
    <w:rsid w:val="00331572"/>
    <w:rsid w:val="003322E0"/>
    <w:rsid w:val="00332FD7"/>
    <w:rsid w:val="003332FD"/>
    <w:rsid w:val="003334A8"/>
    <w:rsid w:val="00333973"/>
    <w:rsid w:val="00334390"/>
    <w:rsid w:val="003345CF"/>
    <w:rsid w:val="00336424"/>
    <w:rsid w:val="003373C9"/>
    <w:rsid w:val="0033796F"/>
    <w:rsid w:val="00337CE3"/>
    <w:rsid w:val="00341C88"/>
    <w:rsid w:val="003447B6"/>
    <w:rsid w:val="0034528C"/>
    <w:rsid w:val="00346180"/>
    <w:rsid w:val="00346325"/>
    <w:rsid w:val="003464A9"/>
    <w:rsid w:val="00347152"/>
    <w:rsid w:val="00347D4D"/>
    <w:rsid w:val="00347E60"/>
    <w:rsid w:val="00347EE9"/>
    <w:rsid w:val="0035055A"/>
    <w:rsid w:val="003507A4"/>
    <w:rsid w:val="00351D68"/>
    <w:rsid w:val="00353EA2"/>
    <w:rsid w:val="00354D9B"/>
    <w:rsid w:val="00355780"/>
    <w:rsid w:val="00355F82"/>
    <w:rsid w:val="0035604E"/>
    <w:rsid w:val="003560AD"/>
    <w:rsid w:val="0035622C"/>
    <w:rsid w:val="003565E0"/>
    <w:rsid w:val="0035715D"/>
    <w:rsid w:val="00360637"/>
    <w:rsid w:val="00360BCA"/>
    <w:rsid w:val="003620E3"/>
    <w:rsid w:val="003622EC"/>
    <w:rsid w:val="00362358"/>
    <w:rsid w:val="00363092"/>
    <w:rsid w:val="00364CF2"/>
    <w:rsid w:val="003651DC"/>
    <w:rsid w:val="00365292"/>
    <w:rsid w:val="003663E5"/>
    <w:rsid w:val="00366537"/>
    <w:rsid w:val="00366BD7"/>
    <w:rsid w:val="00371492"/>
    <w:rsid w:val="00371E7D"/>
    <w:rsid w:val="003732B6"/>
    <w:rsid w:val="003736CB"/>
    <w:rsid w:val="00374421"/>
    <w:rsid w:val="00374770"/>
    <w:rsid w:val="00374B63"/>
    <w:rsid w:val="0037524E"/>
    <w:rsid w:val="00375AD5"/>
    <w:rsid w:val="003769ED"/>
    <w:rsid w:val="00377075"/>
    <w:rsid w:val="0037728B"/>
    <w:rsid w:val="00377988"/>
    <w:rsid w:val="00380BF6"/>
    <w:rsid w:val="00381C76"/>
    <w:rsid w:val="00382059"/>
    <w:rsid w:val="0038251D"/>
    <w:rsid w:val="0038536C"/>
    <w:rsid w:val="003859C8"/>
    <w:rsid w:val="003868BD"/>
    <w:rsid w:val="003871C4"/>
    <w:rsid w:val="003877A4"/>
    <w:rsid w:val="00387FDA"/>
    <w:rsid w:val="00390792"/>
    <w:rsid w:val="003908F7"/>
    <w:rsid w:val="003916B4"/>
    <w:rsid w:val="0039189E"/>
    <w:rsid w:val="0039193A"/>
    <w:rsid w:val="00392AD3"/>
    <w:rsid w:val="00394DA8"/>
    <w:rsid w:val="00394DCB"/>
    <w:rsid w:val="00394E41"/>
    <w:rsid w:val="00396496"/>
    <w:rsid w:val="0039750B"/>
    <w:rsid w:val="00397E6A"/>
    <w:rsid w:val="003A09A4"/>
    <w:rsid w:val="003A10C9"/>
    <w:rsid w:val="003A1870"/>
    <w:rsid w:val="003A203F"/>
    <w:rsid w:val="003A2211"/>
    <w:rsid w:val="003A326A"/>
    <w:rsid w:val="003A337C"/>
    <w:rsid w:val="003A3A4D"/>
    <w:rsid w:val="003A58D6"/>
    <w:rsid w:val="003A59F0"/>
    <w:rsid w:val="003A7590"/>
    <w:rsid w:val="003A7903"/>
    <w:rsid w:val="003A7F0E"/>
    <w:rsid w:val="003B0526"/>
    <w:rsid w:val="003B0AB4"/>
    <w:rsid w:val="003B0F8B"/>
    <w:rsid w:val="003B10AA"/>
    <w:rsid w:val="003B1C7D"/>
    <w:rsid w:val="003B1C91"/>
    <w:rsid w:val="003B2E4E"/>
    <w:rsid w:val="003B569B"/>
    <w:rsid w:val="003B60CD"/>
    <w:rsid w:val="003B70EA"/>
    <w:rsid w:val="003B75B5"/>
    <w:rsid w:val="003B7ED2"/>
    <w:rsid w:val="003B7EF4"/>
    <w:rsid w:val="003C18B4"/>
    <w:rsid w:val="003C267C"/>
    <w:rsid w:val="003C3089"/>
    <w:rsid w:val="003C4614"/>
    <w:rsid w:val="003C4AE1"/>
    <w:rsid w:val="003C4B3B"/>
    <w:rsid w:val="003C5107"/>
    <w:rsid w:val="003C5834"/>
    <w:rsid w:val="003C6851"/>
    <w:rsid w:val="003C7C8F"/>
    <w:rsid w:val="003D0AEB"/>
    <w:rsid w:val="003D0C95"/>
    <w:rsid w:val="003D1A30"/>
    <w:rsid w:val="003D2F1F"/>
    <w:rsid w:val="003D3E27"/>
    <w:rsid w:val="003D460E"/>
    <w:rsid w:val="003D4849"/>
    <w:rsid w:val="003D7417"/>
    <w:rsid w:val="003D7C31"/>
    <w:rsid w:val="003E0A5C"/>
    <w:rsid w:val="003E17DC"/>
    <w:rsid w:val="003E31D5"/>
    <w:rsid w:val="003E3F45"/>
    <w:rsid w:val="003E4061"/>
    <w:rsid w:val="003E44E8"/>
    <w:rsid w:val="003E49F2"/>
    <w:rsid w:val="003E504C"/>
    <w:rsid w:val="003E63C0"/>
    <w:rsid w:val="003E6B9D"/>
    <w:rsid w:val="003F083A"/>
    <w:rsid w:val="003F0A8C"/>
    <w:rsid w:val="003F1AC9"/>
    <w:rsid w:val="003F243B"/>
    <w:rsid w:val="003F340B"/>
    <w:rsid w:val="003F444C"/>
    <w:rsid w:val="003F5603"/>
    <w:rsid w:val="003F5A12"/>
    <w:rsid w:val="003F65A1"/>
    <w:rsid w:val="003F7A7F"/>
    <w:rsid w:val="003F7EB9"/>
    <w:rsid w:val="0040037F"/>
    <w:rsid w:val="00401C03"/>
    <w:rsid w:val="00402297"/>
    <w:rsid w:val="0040248A"/>
    <w:rsid w:val="00403ED3"/>
    <w:rsid w:val="00405148"/>
    <w:rsid w:val="00406463"/>
    <w:rsid w:val="00407338"/>
    <w:rsid w:val="004077DE"/>
    <w:rsid w:val="00407EA0"/>
    <w:rsid w:val="00410EE5"/>
    <w:rsid w:val="0041127B"/>
    <w:rsid w:val="004112D2"/>
    <w:rsid w:val="004114CD"/>
    <w:rsid w:val="00413F45"/>
    <w:rsid w:val="004146E6"/>
    <w:rsid w:val="00414C8D"/>
    <w:rsid w:val="00414CC1"/>
    <w:rsid w:val="004153FE"/>
    <w:rsid w:val="00416357"/>
    <w:rsid w:val="004163F7"/>
    <w:rsid w:val="00421667"/>
    <w:rsid w:val="00424DBB"/>
    <w:rsid w:val="00425C28"/>
    <w:rsid w:val="00426934"/>
    <w:rsid w:val="00426B77"/>
    <w:rsid w:val="00426E08"/>
    <w:rsid w:val="00426FE3"/>
    <w:rsid w:val="00433ACA"/>
    <w:rsid w:val="00434DC4"/>
    <w:rsid w:val="004375C8"/>
    <w:rsid w:val="00437A19"/>
    <w:rsid w:val="00437CA1"/>
    <w:rsid w:val="00440B65"/>
    <w:rsid w:val="004411EE"/>
    <w:rsid w:val="00441768"/>
    <w:rsid w:val="00441A2E"/>
    <w:rsid w:val="00441B1D"/>
    <w:rsid w:val="00441CD1"/>
    <w:rsid w:val="00443165"/>
    <w:rsid w:val="00443340"/>
    <w:rsid w:val="00443838"/>
    <w:rsid w:val="00444234"/>
    <w:rsid w:val="00444764"/>
    <w:rsid w:val="004448F6"/>
    <w:rsid w:val="0044582A"/>
    <w:rsid w:val="004509C7"/>
    <w:rsid w:val="00450E6F"/>
    <w:rsid w:val="00451777"/>
    <w:rsid w:val="00451C20"/>
    <w:rsid w:val="00451D32"/>
    <w:rsid w:val="0045208B"/>
    <w:rsid w:val="00452D85"/>
    <w:rsid w:val="00453C5E"/>
    <w:rsid w:val="004541C2"/>
    <w:rsid w:val="0045427E"/>
    <w:rsid w:val="00454F2D"/>
    <w:rsid w:val="004569BF"/>
    <w:rsid w:val="004622B7"/>
    <w:rsid w:val="00462DA1"/>
    <w:rsid w:val="00463499"/>
    <w:rsid w:val="004645AA"/>
    <w:rsid w:val="004652F0"/>
    <w:rsid w:val="0046684A"/>
    <w:rsid w:val="0046689D"/>
    <w:rsid w:val="004701A7"/>
    <w:rsid w:val="00470A63"/>
    <w:rsid w:val="00471315"/>
    <w:rsid w:val="004726E1"/>
    <w:rsid w:val="00472835"/>
    <w:rsid w:val="00472CEE"/>
    <w:rsid w:val="00472D81"/>
    <w:rsid w:val="00473148"/>
    <w:rsid w:val="00473214"/>
    <w:rsid w:val="00473486"/>
    <w:rsid w:val="00473E31"/>
    <w:rsid w:val="00474D41"/>
    <w:rsid w:val="004754C8"/>
    <w:rsid w:val="004764A0"/>
    <w:rsid w:val="00476E8A"/>
    <w:rsid w:val="00477DD5"/>
    <w:rsid w:val="0048088B"/>
    <w:rsid w:val="0048120F"/>
    <w:rsid w:val="0048131C"/>
    <w:rsid w:val="00481ADF"/>
    <w:rsid w:val="0048269C"/>
    <w:rsid w:val="00482E56"/>
    <w:rsid w:val="00483345"/>
    <w:rsid w:val="004857D3"/>
    <w:rsid w:val="00485976"/>
    <w:rsid w:val="00485A30"/>
    <w:rsid w:val="00487EBE"/>
    <w:rsid w:val="004909E8"/>
    <w:rsid w:val="00491303"/>
    <w:rsid w:val="004913E4"/>
    <w:rsid w:val="0049217D"/>
    <w:rsid w:val="004924CA"/>
    <w:rsid w:val="004935E9"/>
    <w:rsid w:val="0049478D"/>
    <w:rsid w:val="00494E57"/>
    <w:rsid w:val="0049572F"/>
    <w:rsid w:val="00496001"/>
    <w:rsid w:val="00496877"/>
    <w:rsid w:val="00496E13"/>
    <w:rsid w:val="00497069"/>
    <w:rsid w:val="00497C5B"/>
    <w:rsid w:val="004A18D2"/>
    <w:rsid w:val="004A1ABB"/>
    <w:rsid w:val="004A2A84"/>
    <w:rsid w:val="004A51B5"/>
    <w:rsid w:val="004A6879"/>
    <w:rsid w:val="004A71F6"/>
    <w:rsid w:val="004A76EA"/>
    <w:rsid w:val="004A7E72"/>
    <w:rsid w:val="004B28A9"/>
    <w:rsid w:val="004B2A28"/>
    <w:rsid w:val="004B385A"/>
    <w:rsid w:val="004B47A3"/>
    <w:rsid w:val="004B6384"/>
    <w:rsid w:val="004B6AFC"/>
    <w:rsid w:val="004B7FAD"/>
    <w:rsid w:val="004C0044"/>
    <w:rsid w:val="004C0AA8"/>
    <w:rsid w:val="004C0B30"/>
    <w:rsid w:val="004C0D8C"/>
    <w:rsid w:val="004C1879"/>
    <w:rsid w:val="004C1C68"/>
    <w:rsid w:val="004C2301"/>
    <w:rsid w:val="004C2381"/>
    <w:rsid w:val="004C38E9"/>
    <w:rsid w:val="004C5210"/>
    <w:rsid w:val="004C56E2"/>
    <w:rsid w:val="004C5C16"/>
    <w:rsid w:val="004C5FC6"/>
    <w:rsid w:val="004C6048"/>
    <w:rsid w:val="004C6E70"/>
    <w:rsid w:val="004D0EE6"/>
    <w:rsid w:val="004D2B54"/>
    <w:rsid w:val="004D2CC6"/>
    <w:rsid w:val="004D397A"/>
    <w:rsid w:val="004D4687"/>
    <w:rsid w:val="004D4731"/>
    <w:rsid w:val="004D5109"/>
    <w:rsid w:val="004D61AB"/>
    <w:rsid w:val="004D642D"/>
    <w:rsid w:val="004D6FE2"/>
    <w:rsid w:val="004D74A7"/>
    <w:rsid w:val="004E17BD"/>
    <w:rsid w:val="004E25FA"/>
    <w:rsid w:val="004E2EB4"/>
    <w:rsid w:val="004E3B89"/>
    <w:rsid w:val="004E3FEC"/>
    <w:rsid w:val="004E4555"/>
    <w:rsid w:val="004E4784"/>
    <w:rsid w:val="004E586C"/>
    <w:rsid w:val="004E604A"/>
    <w:rsid w:val="004E7096"/>
    <w:rsid w:val="004E7E09"/>
    <w:rsid w:val="004E7EC1"/>
    <w:rsid w:val="004F15EB"/>
    <w:rsid w:val="004F5A88"/>
    <w:rsid w:val="004F5DFA"/>
    <w:rsid w:val="004F6BCF"/>
    <w:rsid w:val="005000DF"/>
    <w:rsid w:val="0050013D"/>
    <w:rsid w:val="00500C88"/>
    <w:rsid w:val="00501710"/>
    <w:rsid w:val="00501D12"/>
    <w:rsid w:val="00502068"/>
    <w:rsid w:val="00502094"/>
    <w:rsid w:val="0050275A"/>
    <w:rsid w:val="0050303E"/>
    <w:rsid w:val="0050387A"/>
    <w:rsid w:val="00504BBA"/>
    <w:rsid w:val="00504F2E"/>
    <w:rsid w:val="00505053"/>
    <w:rsid w:val="005062D3"/>
    <w:rsid w:val="0050788A"/>
    <w:rsid w:val="00507D44"/>
    <w:rsid w:val="00510F35"/>
    <w:rsid w:val="00512B81"/>
    <w:rsid w:val="0051361C"/>
    <w:rsid w:val="0051452B"/>
    <w:rsid w:val="00515410"/>
    <w:rsid w:val="00515692"/>
    <w:rsid w:val="005172E2"/>
    <w:rsid w:val="0051737A"/>
    <w:rsid w:val="005173EC"/>
    <w:rsid w:val="005176FA"/>
    <w:rsid w:val="00521128"/>
    <w:rsid w:val="00521823"/>
    <w:rsid w:val="0052214D"/>
    <w:rsid w:val="00522635"/>
    <w:rsid w:val="005232A5"/>
    <w:rsid w:val="005243A8"/>
    <w:rsid w:val="00524527"/>
    <w:rsid w:val="0052510B"/>
    <w:rsid w:val="0052571C"/>
    <w:rsid w:val="0052659B"/>
    <w:rsid w:val="00527C3E"/>
    <w:rsid w:val="00527EEB"/>
    <w:rsid w:val="0053173C"/>
    <w:rsid w:val="00532063"/>
    <w:rsid w:val="00534614"/>
    <w:rsid w:val="0053518B"/>
    <w:rsid w:val="00535D22"/>
    <w:rsid w:val="00535FF5"/>
    <w:rsid w:val="0054074A"/>
    <w:rsid w:val="00540A35"/>
    <w:rsid w:val="005424DD"/>
    <w:rsid w:val="00543D64"/>
    <w:rsid w:val="00544BC7"/>
    <w:rsid w:val="005451E6"/>
    <w:rsid w:val="00545819"/>
    <w:rsid w:val="00545BBE"/>
    <w:rsid w:val="00546493"/>
    <w:rsid w:val="00546AED"/>
    <w:rsid w:val="00546C9F"/>
    <w:rsid w:val="005507C1"/>
    <w:rsid w:val="00550C9E"/>
    <w:rsid w:val="00550E37"/>
    <w:rsid w:val="00551D83"/>
    <w:rsid w:val="00551EAE"/>
    <w:rsid w:val="00552654"/>
    <w:rsid w:val="0055333F"/>
    <w:rsid w:val="00554A7A"/>
    <w:rsid w:val="005556FE"/>
    <w:rsid w:val="005560CB"/>
    <w:rsid w:val="00556473"/>
    <w:rsid w:val="00556968"/>
    <w:rsid w:val="00557814"/>
    <w:rsid w:val="00557A76"/>
    <w:rsid w:val="00557C63"/>
    <w:rsid w:val="00557CA3"/>
    <w:rsid w:val="00560E7B"/>
    <w:rsid w:val="00561867"/>
    <w:rsid w:val="00561E23"/>
    <w:rsid w:val="005643AF"/>
    <w:rsid w:val="0056631F"/>
    <w:rsid w:val="005675B0"/>
    <w:rsid w:val="0056765A"/>
    <w:rsid w:val="00570647"/>
    <w:rsid w:val="0057217E"/>
    <w:rsid w:val="00572194"/>
    <w:rsid w:val="005722AD"/>
    <w:rsid w:val="00572A25"/>
    <w:rsid w:val="00572CBF"/>
    <w:rsid w:val="00573422"/>
    <w:rsid w:val="00573CE3"/>
    <w:rsid w:val="005740FD"/>
    <w:rsid w:val="00574517"/>
    <w:rsid w:val="00574D3C"/>
    <w:rsid w:val="005751C1"/>
    <w:rsid w:val="005758B3"/>
    <w:rsid w:val="005758BC"/>
    <w:rsid w:val="00576D02"/>
    <w:rsid w:val="00576E77"/>
    <w:rsid w:val="00577525"/>
    <w:rsid w:val="00577F21"/>
    <w:rsid w:val="00581B32"/>
    <w:rsid w:val="00581E8D"/>
    <w:rsid w:val="005827C8"/>
    <w:rsid w:val="0058296F"/>
    <w:rsid w:val="00583190"/>
    <w:rsid w:val="00583874"/>
    <w:rsid w:val="005843EF"/>
    <w:rsid w:val="00585BAC"/>
    <w:rsid w:val="00587AD1"/>
    <w:rsid w:val="00587C5F"/>
    <w:rsid w:val="00587D38"/>
    <w:rsid w:val="00590042"/>
    <w:rsid w:val="005920F7"/>
    <w:rsid w:val="0059284E"/>
    <w:rsid w:val="0059416B"/>
    <w:rsid w:val="00596381"/>
    <w:rsid w:val="00597767"/>
    <w:rsid w:val="00597C57"/>
    <w:rsid w:val="00597E92"/>
    <w:rsid w:val="005A0563"/>
    <w:rsid w:val="005A2427"/>
    <w:rsid w:val="005A268D"/>
    <w:rsid w:val="005A2AAD"/>
    <w:rsid w:val="005A413F"/>
    <w:rsid w:val="005A54A1"/>
    <w:rsid w:val="005A5B7A"/>
    <w:rsid w:val="005A6325"/>
    <w:rsid w:val="005A71EC"/>
    <w:rsid w:val="005A7359"/>
    <w:rsid w:val="005B04E2"/>
    <w:rsid w:val="005B0A33"/>
    <w:rsid w:val="005B1096"/>
    <w:rsid w:val="005B17DE"/>
    <w:rsid w:val="005B1B23"/>
    <w:rsid w:val="005B1DDD"/>
    <w:rsid w:val="005B2D57"/>
    <w:rsid w:val="005B2DB1"/>
    <w:rsid w:val="005B3503"/>
    <w:rsid w:val="005B476A"/>
    <w:rsid w:val="005B4F1D"/>
    <w:rsid w:val="005B621F"/>
    <w:rsid w:val="005B6EC8"/>
    <w:rsid w:val="005B7269"/>
    <w:rsid w:val="005B79B9"/>
    <w:rsid w:val="005C18C1"/>
    <w:rsid w:val="005C22B0"/>
    <w:rsid w:val="005C2447"/>
    <w:rsid w:val="005C4C15"/>
    <w:rsid w:val="005C5624"/>
    <w:rsid w:val="005C58E9"/>
    <w:rsid w:val="005C640E"/>
    <w:rsid w:val="005C6D9F"/>
    <w:rsid w:val="005C721D"/>
    <w:rsid w:val="005C7CB1"/>
    <w:rsid w:val="005C7F29"/>
    <w:rsid w:val="005D06C0"/>
    <w:rsid w:val="005D072F"/>
    <w:rsid w:val="005D19FD"/>
    <w:rsid w:val="005D22B3"/>
    <w:rsid w:val="005D503B"/>
    <w:rsid w:val="005D5B7A"/>
    <w:rsid w:val="005E0CEE"/>
    <w:rsid w:val="005E2E03"/>
    <w:rsid w:val="005E406B"/>
    <w:rsid w:val="005E6FC5"/>
    <w:rsid w:val="005F0300"/>
    <w:rsid w:val="005F0379"/>
    <w:rsid w:val="005F1CC2"/>
    <w:rsid w:val="005F1CD0"/>
    <w:rsid w:val="005F2024"/>
    <w:rsid w:val="005F2A7E"/>
    <w:rsid w:val="005F34FB"/>
    <w:rsid w:val="005F37AE"/>
    <w:rsid w:val="005F4014"/>
    <w:rsid w:val="005F4DE3"/>
    <w:rsid w:val="005F77F0"/>
    <w:rsid w:val="006003A9"/>
    <w:rsid w:val="00600631"/>
    <w:rsid w:val="00600E29"/>
    <w:rsid w:val="006019CC"/>
    <w:rsid w:val="00602679"/>
    <w:rsid w:val="00602A60"/>
    <w:rsid w:val="00602AEB"/>
    <w:rsid w:val="00602D7B"/>
    <w:rsid w:val="006035D6"/>
    <w:rsid w:val="00604444"/>
    <w:rsid w:val="00604C47"/>
    <w:rsid w:val="00605663"/>
    <w:rsid w:val="00607CBB"/>
    <w:rsid w:val="00610149"/>
    <w:rsid w:val="00610BD6"/>
    <w:rsid w:val="006115E0"/>
    <w:rsid w:val="00611882"/>
    <w:rsid w:val="006124B0"/>
    <w:rsid w:val="00613FC6"/>
    <w:rsid w:val="0061469D"/>
    <w:rsid w:val="006146E4"/>
    <w:rsid w:val="00614C11"/>
    <w:rsid w:val="00614F8A"/>
    <w:rsid w:val="006155C6"/>
    <w:rsid w:val="00615F7E"/>
    <w:rsid w:val="0061650D"/>
    <w:rsid w:val="006167AC"/>
    <w:rsid w:val="00616B83"/>
    <w:rsid w:val="00616D9E"/>
    <w:rsid w:val="00617A8F"/>
    <w:rsid w:val="006205C9"/>
    <w:rsid w:val="00621C9D"/>
    <w:rsid w:val="006227E4"/>
    <w:rsid w:val="006237E3"/>
    <w:rsid w:val="0062485B"/>
    <w:rsid w:val="006250AF"/>
    <w:rsid w:val="00625167"/>
    <w:rsid w:val="0062596A"/>
    <w:rsid w:val="00627761"/>
    <w:rsid w:val="0063071E"/>
    <w:rsid w:val="00630800"/>
    <w:rsid w:val="00630BB6"/>
    <w:rsid w:val="006315D3"/>
    <w:rsid w:val="0063260F"/>
    <w:rsid w:val="00633692"/>
    <w:rsid w:val="00633CD2"/>
    <w:rsid w:val="00635012"/>
    <w:rsid w:val="0063672E"/>
    <w:rsid w:val="006411CF"/>
    <w:rsid w:val="00641EB2"/>
    <w:rsid w:val="00643113"/>
    <w:rsid w:val="00644603"/>
    <w:rsid w:val="00645BF0"/>
    <w:rsid w:val="00646805"/>
    <w:rsid w:val="0064722C"/>
    <w:rsid w:val="0065009B"/>
    <w:rsid w:val="00651326"/>
    <w:rsid w:val="006513B9"/>
    <w:rsid w:val="0065217E"/>
    <w:rsid w:val="00652AA0"/>
    <w:rsid w:val="0065357A"/>
    <w:rsid w:val="00653903"/>
    <w:rsid w:val="0065652F"/>
    <w:rsid w:val="00657407"/>
    <w:rsid w:val="0066006D"/>
    <w:rsid w:val="00660494"/>
    <w:rsid w:val="006605D9"/>
    <w:rsid w:val="00660A95"/>
    <w:rsid w:val="00660C44"/>
    <w:rsid w:val="006612F6"/>
    <w:rsid w:val="00662028"/>
    <w:rsid w:val="0066244A"/>
    <w:rsid w:val="00662BE5"/>
    <w:rsid w:val="00663183"/>
    <w:rsid w:val="00663B8D"/>
    <w:rsid w:val="00664E0F"/>
    <w:rsid w:val="0066604B"/>
    <w:rsid w:val="00666089"/>
    <w:rsid w:val="00666956"/>
    <w:rsid w:val="00670253"/>
    <w:rsid w:val="00671C55"/>
    <w:rsid w:val="00673099"/>
    <w:rsid w:val="00674425"/>
    <w:rsid w:val="00676CB3"/>
    <w:rsid w:val="00676D61"/>
    <w:rsid w:val="00677E66"/>
    <w:rsid w:val="00681530"/>
    <w:rsid w:val="00681625"/>
    <w:rsid w:val="00682321"/>
    <w:rsid w:val="00683C79"/>
    <w:rsid w:val="00684425"/>
    <w:rsid w:val="00685994"/>
    <w:rsid w:val="006872A5"/>
    <w:rsid w:val="00687487"/>
    <w:rsid w:val="0068791F"/>
    <w:rsid w:val="00690084"/>
    <w:rsid w:val="006919F7"/>
    <w:rsid w:val="00692D46"/>
    <w:rsid w:val="00693965"/>
    <w:rsid w:val="0069416B"/>
    <w:rsid w:val="00694B70"/>
    <w:rsid w:val="00695009"/>
    <w:rsid w:val="00695104"/>
    <w:rsid w:val="00696FA5"/>
    <w:rsid w:val="00697062"/>
    <w:rsid w:val="006977C9"/>
    <w:rsid w:val="006A0279"/>
    <w:rsid w:val="006A06DE"/>
    <w:rsid w:val="006A0E43"/>
    <w:rsid w:val="006A46C6"/>
    <w:rsid w:val="006A5305"/>
    <w:rsid w:val="006A5F83"/>
    <w:rsid w:val="006A6265"/>
    <w:rsid w:val="006A6690"/>
    <w:rsid w:val="006A68BC"/>
    <w:rsid w:val="006A6F0C"/>
    <w:rsid w:val="006A7984"/>
    <w:rsid w:val="006A7A55"/>
    <w:rsid w:val="006B0305"/>
    <w:rsid w:val="006B0AE2"/>
    <w:rsid w:val="006B14C3"/>
    <w:rsid w:val="006B2338"/>
    <w:rsid w:val="006B32CA"/>
    <w:rsid w:val="006B3363"/>
    <w:rsid w:val="006B40F4"/>
    <w:rsid w:val="006B55D7"/>
    <w:rsid w:val="006B560A"/>
    <w:rsid w:val="006B5D63"/>
    <w:rsid w:val="006B6E18"/>
    <w:rsid w:val="006B7563"/>
    <w:rsid w:val="006C154C"/>
    <w:rsid w:val="006C27C3"/>
    <w:rsid w:val="006C2C83"/>
    <w:rsid w:val="006C2F8E"/>
    <w:rsid w:val="006C51ED"/>
    <w:rsid w:val="006C61C3"/>
    <w:rsid w:val="006C7844"/>
    <w:rsid w:val="006C7A3D"/>
    <w:rsid w:val="006D0270"/>
    <w:rsid w:val="006D2332"/>
    <w:rsid w:val="006D35A6"/>
    <w:rsid w:val="006D3A79"/>
    <w:rsid w:val="006D59AE"/>
    <w:rsid w:val="006D5DCF"/>
    <w:rsid w:val="006D61DE"/>
    <w:rsid w:val="006D7ED8"/>
    <w:rsid w:val="006E126A"/>
    <w:rsid w:val="006E1D76"/>
    <w:rsid w:val="006E22DD"/>
    <w:rsid w:val="006E252C"/>
    <w:rsid w:val="006E4FD7"/>
    <w:rsid w:val="006E7F56"/>
    <w:rsid w:val="006F042E"/>
    <w:rsid w:val="006F192C"/>
    <w:rsid w:val="006F2342"/>
    <w:rsid w:val="006F257F"/>
    <w:rsid w:val="006F3881"/>
    <w:rsid w:val="006F3F63"/>
    <w:rsid w:val="006F510E"/>
    <w:rsid w:val="006F6262"/>
    <w:rsid w:val="006F718C"/>
    <w:rsid w:val="00701415"/>
    <w:rsid w:val="00701BC7"/>
    <w:rsid w:val="00701D98"/>
    <w:rsid w:val="0070249D"/>
    <w:rsid w:val="007024D0"/>
    <w:rsid w:val="00704AE0"/>
    <w:rsid w:val="00705DD8"/>
    <w:rsid w:val="00706CD6"/>
    <w:rsid w:val="00706DDD"/>
    <w:rsid w:val="007070A0"/>
    <w:rsid w:val="00707633"/>
    <w:rsid w:val="007107E0"/>
    <w:rsid w:val="00710E29"/>
    <w:rsid w:val="007115E4"/>
    <w:rsid w:val="0071215E"/>
    <w:rsid w:val="007125D9"/>
    <w:rsid w:val="0071357E"/>
    <w:rsid w:val="00713764"/>
    <w:rsid w:val="007137BB"/>
    <w:rsid w:val="00713B57"/>
    <w:rsid w:val="00713D20"/>
    <w:rsid w:val="00714189"/>
    <w:rsid w:val="00714197"/>
    <w:rsid w:val="0071534B"/>
    <w:rsid w:val="007164D9"/>
    <w:rsid w:val="0071746A"/>
    <w:rsid w:val="00720001"/>
    <w:rsid w:val="007210A1"/>
    <w:rsid w:val="00724182"/>
    <w:rsid w:val="00724E8E"/>
    <w:rsid w:val="00726B9A"/>
    <w:rsid w:val="00727139"/>
    <w:rsid w:val="00730CB6"/>
    <w:rsid w:val="007317B5"/>
    <w:rsid w:val="00733897"/>
    <w:rsid w:val="0073491E"/>
    <w:rsid w:val="007358B6"/>
    <w:rsid w:val="00735DBA"/>
    <w:rsid w:val="0073679C"/>
    <w:rsid w:val="0073718F"/>
    <w:rsid w:val="007419CA"/>
    <w:rsid w:val="00743514"/>
    <w:rsid w:val="00743ABE"/>
    <w:rsid w:val="00744A9C"/>
    <w:rsid w:val="00744AB6"/>
    <w:rsid w:val="00745403"/>
    <w:rsid w:val="007454AC"/>
    <w:rsid w:val="0074581B"/>
    <w:rsid w:val="00747F8B"/>
    <w:rsid w:val="0075100A"/>
    <w:rsid w:val="007530EB"/>
    <w:rsid w:val="007533A3"/>
    <w:rsid w:val="00753FBA"/>
    <w:rsid w:val="007547A5"/>
    <w:rsid w:val="0075541A"/>
    <w:rsid w:val="00755552"/>
    <w:rsid w:val="00755E99"/>
    <w:rsid w:val="0075678F"/>
    <w:rsid w:val="007569E6"/>
    <w:rsid w:val="007608F2"/>
    <w:rsid w:val="007613A6"/>
    <w:rsid w:val="007633B3"/>
    <w:rsid w:val="00763F90"/>
    <w:rsid w:val="00765248"/>
    <w:rsid w:val="007675BC"/>
    <w:rsid w:val="00767700"/>
    <w:rsid w:val="0076796C"/>
    <w:rsid w:val="00767B32"/>
    <w:rsid w:val="00767E63"/>
    <w:rsid w:val="007711B6"/>
    <w:rsid w:val="007727D3"/>
    <w:rsid w:val="007731CE"/>
    <w:rsid w:val="0077374F"/>
    <w:rsid w:val="007739BE"/>
    <w:rsid w:val="00774A8E"/>
    <w:rsid w:val="00774B12"/>
    <w:rsid w:val="00774F16"/>
    <w:rsid w:val="00775EA9"/>
    <w:rsid w:val="00776446"/>
    <w:rsid w:val="007768BA"/>
    <w:rsid w:val="00776E90"/>
    <w:rsid w:val="00777465"/>
    <w:rsid w:val="00777905"/>
    <w:rsid w:val="00777E8D"/>
    <w:rsid w:val="00781DF9"/>
    <w:rsid w:val="00782221"/>
    <w:rsid w:val="00782AE7"/>
    <w:rsid w:val="007832F4"/>
    <w:rsid w:val="00783923"/>
    <w:rsid w:val="00783C99"/>
    <w:rsid w:val="00784B17"/>
    <w:rsid w:val="0078649E"/>
    <w:rsid w:val="007867E1"/>
    <w:rsid w:val="00787D31"/>
    <w:rsid w:val="00790862"/>
    <w:rsid w:val="007914CD"/>
    <w:rsid w:val="007942B9"/>
    <w:rsid w:val="00794CAE"/>
    <w:rsid w:val="00795276"/>
    <w:rsid w:val="00797564"/>
    <w:rsid w:val="007A060A"/>
    <w:rsid w:val="007A07BD"/>
    <w:rsid w:val="007A0B52"/>
    <w:rsid w:val="007A1196"/>
    <w:rsid w:val="007A2590"/>
    <w:rsid w:val="007A25E6"/>
    <w:rsid w:val="007A2700"/>
    <w:rsid w:val="007A37EA"/>
    <w:rsid w:val="007A3E6E"/>
    <w:rsid w:val="007A430E"/>
    <w:rsid w:val="007A6260"/>
    <w:rsid w:val="007A656D"/>
    <w:rsid w:val="007A6580"/>
    <w:rsid w:val="007A6603"/>
    <w:rsid w:val="007B0D62"/>
    <w:rsid w:val="007B155A"/>
    <w:rsid w:val="007B1B15"/>
    <w:rsid w:val="007B299F"/>
    <w:rsid w:val="007B3DAA"/>
    <w:rsid w:val="007B40ED"/>
    <w:rsid w:val="007B43F8"/>
    <w:rsid w:val="007B481A"/>
    <w:rsid w:val="007B6065"/>
    <w:rsid w:val="007B611C"/>
    <w:rsid w:val="007B6D5A"/>
    <w:rsid w:val="007B6E29"/>
    <w:rsid w:val="007B7666"/>
    <w:rsid w:val="007C04F8"/>
    <w:rsid w:val="007C12C2"/>
    <w:rsid w:val="007C179B"/>
    <w:rsid w:val="007C20E8"/>
    <w:rsid w:val="007C23D7"/>
    <w:rsid w:val="007C2BA8"/>
    <w:rsid w:val="007C3041"/>
    <w:rsid w:val="007C3540"/>
    <w:rsid w:val="007C3A9A"/>
    <w:rsid w:val="007C529C"/>
    <w:rsid w:val="007C54C5"/>
    <w:rsid w:val="007C5855"/>
    <w:rsid w:val="007C5FEF"/>
    <w:rsid w:val="007C6A87"/>
    <w:rsid w:val="007D03A4"/>
    <w:rsid w:val="007D0BFC"/>
    <w:rsid w:val="007D2078"/>
    <w:rsid w:val="007D282B"/>
    <w:rsid w:val="007D34CA"/>
    <w:rsid w:val="007D3850"/>
    <w:rsid w:val="007D38EF"/>
    <w:rsid w:val="007D42B3"/>
    <w:rsid w:val="007D4591"/>
    <w:rsid w:val="007D470C"/>
    <w:rsid w:val="007D509D"/>
    <w:rsid w:val="007D731A"/>
    <w:rsid w:val="007D742A"/>
    <w:rsid w:val="007D7A53"/>
    <w:rsid w:val="007D7E98"/>
    <w:rsid w:val="007E0CE1"/>
    <w:rsid w:val="007E0F80"/>
    <w:rsid w:val="007E125C"/>
    <w:rsid w:val="007E1ABF"/>
    <w:rsid w:val="007E2363"/>
    <w:rsid w:val="007E2D11"/>
    <w:rsid w:val="007E364E"/>
    <w:rsid w:val="007E3F80"/>
    <w:rsid w:val="007E589C"/>
    <w:rsid w:val="007E6AE9"/>
    <w:rsid w:val="007E73E4"/>
    <w:rsid w:val="007E7B19"/>
    <w:rsid w:val="007F0A7A"/>
    <w:rsid w:val="007F0BCC"/>
    <w:rsid w:val="007F0D99"/>
    <w:rsid w:val="007F2CAF"/>
    <w:rsid w:val="007F39D7"/>
    <w:rsid w:val="007F3E52"/>
    <w:rsid w:val="007F4CE1"/>
    <w:rsid w:val="007F56D6"/>
    <w:rsid w:val="007F5889"/>
    <w:rsid w:val="007F58BB"/>
    <w:rsid w:val="007F5B45"/>
    <w:rsid w:val="007F6548"/>
    <w:rsid w:val="007F7323"/>
    <w:rsid w:val="007F73E1"/>
    <w:rsid w:val="007F7691"/>
    <w:rsid w:val="007F7A5E"/>
    <w:rsid w:val="007F7D70"/>
    <w:rsid w:val="00802602"/>
    <w:rsid w:val="008030D4"/>
    <w:rsid w:val="008031F6"/>
    <w:rsid w:val="00803A84"/>
    <w:rsid w:val="008053BB"/>
    <w:rsid w:val="008054C3"/>
    <w:rsid w:val="00805FB7"/>
    <w:rsid w:val="00806BB5"/>
    <w:rsid w:val="008079D5"/>
    <w:rsid w:val="00812BBD"/>
    <w:rsid w:val="00814349"/>
    <w:rsid w:val="008144C7"/>
    <w:rsid w:val="00815B08"/>
    <w:rsid w:val="00816033"/>
    <w:rsid w:val="00816198"/>
    <w:rsid w:val="0081652A"/>
    <w:rsid w:val="00816689"/>
    <w:rsid w:val="00816AB9"/>
    <w:rsid w:val="00817DD7"/>
    <w:rsid w:val="00817ED1"/>
    <w:rsid w:val="00817EF2"/>
    <w:rsid w:val="008204EA"/>
    <w:rsid w:val="00820B34"/>
    <w:rsid w:val="00820BC2"/>
    <w:rsid w:val="00820D5C"/>
    <w:rsid w:val="00821238"/>
    <w:rsid w:val="0082190E"/>
    <w:rsid w:val="00821A77"/>
    <w:rsid w:val="008221F1"/>
    <w:rsid w:val="00822B30"/>
    <w:rsid w:val="008236F8"/>
    <w:rsid w:val="00823D46"/>
    <w:rsid w:val="008245A7"/>
    <w:rsid w:val="0082461E"/>
    <w:rsid w:val="00825203"/>
    <w:rsid w:val="0082579B"/>
    <w:rsid w:val="00825915"/>
    <w:rsid w:val="00825F8D"/>
    <w:rsid w:val="00826E08"/>
    <w:rsid w:val="008277E5"/>
    <w:rsid w:val="00827DDD"/>
    <w:rsid w:val="008309C3"/>
    <w:rsid w:val="008323F2"/>
    <w:rsid w:val="00832CC9"/>
    <w:rsid w:val="008342A9"/>
    <w:rsid w:val="0083485E"/>
    <w:rsid w:val="008354BB"/>
    <w:rsid w:val="0083567D"/>
    <w:rsid w:val="00835B99"/>
    <w:rsid w:val="00835EA5"/>
    <w:rsid w:val="008364F1"/>
    <w:rsid w:val="00836BA1"/>
    <w:rsid w:val="0083733B"/>
    <w:rsid w:val="00837A8C"/>
    <w:rsid w:val="008403BB"/>
    <w:rsid w:val="00840DBC"/>
    <w:rsid w:val="00841EB2"/>
    <w:rsid w:val="008422C9"/>
    <w:rsid w:val="008431A7"/>
    <w:rsid w:val="00843306"/>
    <w:rsid w:val="0084397E"/>
    <w:rsid w:val="0084532D"/>
    <w:rsid w:val="008454AC"/>
    <w:rsid w:val="00846654"/>
    <w:rsid w:val="00846F83"/>
    <w:rsid w:val="00847B31"/>
    <w:rsid w:val="00852317"/>
    <w:rsid w:val="008539E8"/>
    <w:rsid w:val="00855099"/>
    <w:rsid w:val="00855431"/>
    <w:rsid w:val="00856085"/>
    <w:rsid w:val="008560F9"/>
    <w:rsid w:val="00856F86"/>
    <w:rsid w:val="00860C9A"/>
    <w:rsid w:val="00860D34"/>
    <w:rsid w:val="00862D25"/>
    <w:rsid w:val="008630DB"/>
    <w:rsid w:val="008641FC"/>
    <w:rsid w:val="008660A7"/>
    <w:rsid w:val="00867B90"/>
    <w:rsid w:val="008707A9"/>
    <w:rsid w:val="00870CED"/>
    <w:rsid w:val="00870E45"/>
    <w:rsid w:val="008714C6"/>
    <w:rsid w:val="0087192C"/>
    <w:rsid w:val="00871F47"/>
    <w:rsid w:val="00872A2A"/>
    <w:rsid w:val="008746A8"/>
    <w:rsid w:val="00875911"/>
    <w:rsid w:val="0087667C"/>
    <w:rsid w:val="00876FDA"/>
    <w:rsid w:val="008774A2"/>
    <w:rsid w:val="008779FC"/>
    <w:rsid w:val="00877BF3"/>
    <w:rsid w:val="00877D58"/>
    <w:rsid w:val="008806ED"/>
    <w:rsid w:val="008815D7"/>
    <w:rsid w:val="008817AB"/>
    <w:rsid w:val="008828C5"/>
    <w:rsid w:val="00883A3F"/>
    <w:rsid w:val="00883D9E"/>
    <w:rsid w:val="00884710"/>
    <w:rsid w:val="00884BF5"/>
    <w:rsid w:val="00884D7D"/>
    <w:rsid w:val="008851F3"/>
    <w:rsid w:val="008870C6"/>
    <w:rsid w:val="00891296"/>
    <w:rsid w:val="00891C37"/>
    <w:rsid w:val="0089289A"/>
    <w:rsid w:val="00893AB4"/>
    <w:rsid w:val="008941EF"/>
    <w:rsid w:val="00894F24"/>
    <w:rsid w:val="00894FE1"/>
    <w:rsid w:val="0089546F"/>
    <w:rsid w:val="00897784"/>
    <w:rsid w:val="008A0AE8"/>
    <w:rsid w:val="008A161A"/>
    <w:rsid w:val="008A468C"/>
    <w:rsid w:val="008A5189"/>
    <w:rsid w:val="008A6B57"/>
    <w:rsid w:val="008A6FFD"/>
    <w:rsid w:val="008B0256"/>
    <w:rsid w:val="008B2889"/>
    <w:rsid w:val="008B2907"/>
    <w:rsid w:val="008B2A93"/>
    <w:rsid w:val="008B2ADC"/>
    <w:rsid w:val="008B2E92"/>
    <w:rsid w:val="008B34E0"/>
    <w:rsid w:val="008B3CBA"/>
    <w:rsid w:val="008B5B99"/>
    <w:rsid w:val="008B6003"/>
    <w:rsid w:val="008B6A03"/>
    <w:rsid w:val="008B6CBA"/>
    <w:rsid w:val="008C0F7D"/>
    <w:rsid w:val="008C0FB1"/>
    <w:rsid w:val="008C21C5"/>
    <w:rsid w:val="008C2888"/>
    <w:rsid w:val="008C2B7B"/>
    <w:rsid w:val="008C2CA8"/>
    <w:rsid w:val="008C2E23"/>
    <w:rsid w:val="008C2F24"/>
    <w:rsid w:val="008C30E6"/>
    <w:rsid w:val="008C43DE"/>
    <w:rsid w:val="008C5773"/>
    <w:rsid w:val="008C65F1"/>
    <w:rsid w:val="008C719E"/>
    <w:rsid w:val="008C76A8"/>
    <w:rsid w:val="008C7DAD"/>
    <w:rsid w:val="008D0D6E"/>
    <w:rsid w:val="008D104C"/>
    <w:rsid w:val="008D23F0"/>
    <w:rsid w:val="008D2BCE"/>
    <w:rsid w:val="008D3306"/>
    <w:rsid w:val="008D491E"/>
    <w:rsid w:val="008D6442"/>
    <w:rsid w:val="008D6556"/>
    <w:rsid w:val="008E019E"/>
    <w:rsid w:val="008E023A"/>
    <w:rsid w:val="008E1143"/>
    <w:rsid w:val="008E12AD"/>
    <w:rsid w:val="008E1B97"/>
    <w:rsid w:val="008E27AC"/>
    <w:rsid w:val="008E27CD"/>
    <w:rsid w:val="008E2947"/>
    <w:rsid w:val="008E3FB5"/>
    <w:rsid w:val="008E4560"/>
    <w:rsid w:val="008E5553"/>
    <w:rsid w:val="008E5C2E"/>
    <w:rsid w:val="008F03E3"/>
    <w:rsid w:val="008F052D"/>
    <w:rsid w:val="008F17F0"/>
    <w:rsid w:val="008F2E36"/>
    <w:rsid w:val="008F4565"/>
    <w:rsid w:val="008F460D"/>
    <w:rsid w:val="008F47DD"/>
    <w:rsid w:val="008F4AE9"/>
    <w:rsid w:val="008F582D"/>
    <w:rsid w:val="008F59F1"/>
    <w:rsid w:val="008F6E90"/>
    <w:rsid w:val="009003C1"/>
    <w:rsid w:val="0090088B"/>
    <w:rsid w:val="00900F31"/>
    <w:rsid w:val="00901810"/>
    <w:rsid w:val="00901B5B"/>
    <w:rsid w:val="00903090"/>
    <w:rsid w:val="00903C16"/>
    <w:rsid w:val="0090473A"/>
    <w:rsid w:val="00904B21"/>
    <w:rsid w:val="00905243"/>
    <w:rsid w:val="0090615E"/>
    <w:rsid w:val="009064E7"/>
    <w:rsid w:val="0090760B"/>
    <w:rsid w:val="00910E82"/>
    <w:rsid w:val="009111DB"/>
    <w:rsid w:val="00911CF7"/>
    <w:rsid w:val="00912AD7"/>
    <w:rsid w:val="009145F1"/>
    <w:rsid w:val="00916677"/>
    <w:rsid w:val="0091703B"/>
    <w:rsid w:val="00917165"/>
    <w:rsid w:val="00917C7C"/>
    <w:rsid w:val="00920557"/>
    <w:rsid w:val="00920A9E"/>
    <w:rsid w:val="00920D3C"/>
    <w:rsid w:val="009211A4"/>
    <w:rsid w:val="0092123B"/>
    <w:rsid w:val="0092210B"/>
    <w:rsid w:val="00922797"/>
    <w:rsid w:val="00922F4D"/>
    <w:rsid w:val="00923A81"/>
    <w:rsid w:val="00923AA9"/>
    <w:rsid w:val="00923B4B"/>
    <w:rsid w:val="00924946"/>
    <w:rsid w:val="0093074A"/>
    <w:rsid w:val="00931AD9"/>
    <w:rsid w:val="00933CF1"/>
    <w:rsid w:val="009344CD"/>
    <w:rsid w:val="0093568F"/>
    <w:rsid w:val="009365FE"/>
    <w:rsid w:val="00936C25"/>
    <w:rsid w:val="00936F73"/>
    <w:rsid w:val="00937636"/>
    <w:rsid w:val="00940AC0"/>
    <w:rsid w:val="00941E2A"/>
    <w:rsid w:val="00942168"/>
    <w:rsid w:val="00942196"/>
    <w:rsid w:val="0094272F"/>
    <w:rsid w:val="00942D5A"/>
    <w:rsid w:val="00943111"/>
    <w:rsid w:val="00943FD1"/>
    <w:rsid w:val="00944EF7"/>
    <w:rsid w:val="0094545F"/>
    <w:rsid w:val="00946001"/>
    <w:rsid w:val="009471F1"/>
    <w:rsid w:val="00950957"/>
    <w:rsid w:val="00950C34"/>
    <w:rsid w:val="00951223"/>
    <w:rsid w:val="009519CA"/>
    <w:rsid w:val="00952348"/>
    <w:rsid w:val="0095390F"/>
    <w:rsid w:val="00953D7B"/>
    <w:rsid w:val="00954068"/>
    <w:rsid w:val="009548A3"/>
    <w:rsid w:val="0095725A"/>
    <w:rsid w:val="00957670"/>
    <w:rsid w:val="00957D49"/>
    <w:rsid w:val="009600D0"/>
    <w:rsid w:val="0096010A"/>
    <w:rsid w:val="009605A5"/>
    <w:rsid w:val="0096070C"/>
    <w:rsid w:val="00960748"/>
    <w:rsid w:val="00960B7E"/>
    <w:rsid w:val="00966469"/>
    <w:rsid w:val="009664D3"/>
    <w:rsid w:val="009669A7"/>
    <w:rsid w:val="009670B4"/>
    <w:rsid w:val="009673DC"/>
    <w:rsid w:val="00967E6B"/>
    <w:rsid w:val="009702AD"/>
    <w:rsid w:val="00970815"/>
    <w:rsid w:val="00971F8B"/>
    <w:rsid w:val="00972C0C"/>
    <w:rsid w:val="00972FA9"/>
    <w:rsid w:val="00974AFB"/>
    <w:rsid w:val="00974C9F"/>
    <w:rsid w:val="00974E8D"/>
    <w:rsid w:val="00974FCC"/>
    <w:rsid w:val="0097526F"/>
    <w:rsid w:val="00976125"/>
    <w:rsid w:val="00976CCD"/>
    <w:rsid w:val="00976DDF"/>
    <w:rsid w:val="009807DA"/>
    <w:rsid w:val="00982129"/>
    <w:rsid w:val="00982AA4"/>
    <w:rsid w:val="009832BE"/>
    <w:rsid w:val="00983AB4"/>
    <w:rsid w:val="009877B2"/>
    <w:rsid w:val="00990828"/>
    <w:rsid w:val="00990942"/>
    <w:rsid w:val="00992E61"/>
    <w:rsid w:val="009933AE"/>
    <w:rsid w:val="009951AB"/>
    <w:rsid w:val="00995CE2"/>
    <w:rsid w:val="00996DFA"/>
    <w:rsid w:val="009A0CFC"/>
    <w:rsid w:val="009A1A9F"/>
    <w:rsid w:val="009A38AC"/>
    <w:rsid w:val="009A483E"/>
    <w:rsid w:val="009A501F"/>
    <w:rsid w:val="009A7309"/>
    <w:rsid w:val="009A7D60"/>
    <w:rsid w:val="009B02BB"/>
    <w:rsid w:val="009B3821"/>
    <w:rsid w:val="009B6362"/>
    <w:rsid w:val="009B643B"/>
    <w:rsid w:val="009B7ECE"/>
    <w:rsid w:val="009C0070"/>
    <w:rsid w:val="009C0C65"/>
    <w:rsid w:val="009C191F"/>
    <w:rsid w:val="009C23E3"/>
    <w:rsid w:val="009C3FF7"/>
    <w:rsid w:val="009C53C8"/>
    <w:rsid w:val="009C7924"/>
    <w:rsid w:val="009D0F7E"/>
    <w:rsid w:val="009D107D"/>
    <w:rsid w:val="009D1ACF"/>
    <w:rsid w:val="009D29C6"/>
    <w:rsid w:val="009D2DE6"/>
    <w:rsid w:val="009D3714"/>
    <w:rsid w:val="009D3A60"/>
    <w:rsid w:val="009D4968"/>
    <w:rsid w:val="009D4A4E"/>
    <w:rsid w:val="009D6536"/>
    <w:rsid w:val="009D6EDF"/>
    <w:rsid w:val="009D6F25"/>
    <w:rsid w:val="009D7684"/>
    <w:rsid w:val="009E03AF"/>
    <w:rsid w:val="009E084F"/>
    <w:rsid w:val="009E090A"/>
    <w:rsid w:val="009E1CE5"/>
    <w:rsid w:val="009E2590"/>
    <w:rsid w:val="009E3E6E"/>
    <w:rsid w:val="009E4A4A"/>
    <w:rsid w:val="009E4BFD"/>
    <w:rsid w:val="009E4F74"/>
    <w:rsid w:val="009E5296"/>
    <w:rsid w:val="009E52B5"/>
    <w:rsid w:val="009E6229"/>
    <w:rsid w:val="009E7527"/>
    <w:rsid w:val="009E77FC"/>
    <w:rsid w:val="009F01DC"/>
    <w:rsid w:val="009F04E4"/>
    <w:rsid w:val="009F0B68"/>
    <w:rsid w:val="009F0F09"/>
    <w:rsid w:val="009F0F84"/>
    <w:rsid w:val="009F1D8E"/>
    <w:rsid w:val="009F2000"/>
    <w:rsid w:val="009F2B8A"/>
    <w:rsid w:val="009F302A"/>
    <w:rsid w:val="009F3419"/>
    <w:rsid w:val="009F3FC9"/>
    <w:rsid w:val="009F3FEB"/>
    <w:rsid w:val="009F41EE"/>
    <w:rsid w:val="009F43B0"/>
    <w:rsid w:val="009F740C"/>
    <w:rsid w:val="00A01255"/>
    <w:rsid w:val="00A02262"/>
    <w:rsid w:val="00A02857"/>
    <w:rsid w:val="00A028FF"/>
    <w:rsid w:val="00A02CFB"/>
    <w:rsid w:val="00A0438E"/>
    <w:rsid w:val="00A04FBD"/>
    <w:rsid w:val="00A051F7"/>
    <w:rsid w:val="00A05384"/>
    <w:rsid w:val="00A061BD"/>
    <w:rsid w:val="00A0676D"/>
    <w:rsid w:val="00A104E9"/>
    <w:rsid w:val="00A1058F"/>
    <w:rsid w:val="00A11B3A"/>
    <w:rsid w:val="00A11D42"/>
    <w:rsid w:val="00A12682"/>
    <w:rsid w:val="00A1302E"/>
    <w:rsid w:val="00A14356"/>
    <w:rsid w:val="00A14E83"/>
    <w:rsid w:val="00A16289"/>
    <w:rsid w:val="00A16FAC"/>
    <w:rsid w:val="00A20382"/>
    <w:rsid w:val="00A20505"/>
    <w:rsid w:val="00A206B7"/>
    <w:rsid w:val="00A21E41"/>
    <w:rsid w:val="00A22B36"/>
    <w:rsid w:val="00A248CE"/>
    <w:rsid w:val="00A250A0"/>
    <w:rsid w:val="00A2710C"/>
    <w:rsid w:val="00A273E8"/>
    <w:rsid w:val="00A27AF9"/>
    <w:rsid w:val="00A30629"/>
    <w:rsid w:val="00A3112B"/>
    <w:rsid w:val="00A31F2A"/>
    <w:rsid w:val="00A32EAE"/>
    <w:rsid w:val="00A32F45"/>
    <w:rsid w:val="00A3396C"/>
    <w:rsid w:val="00A34C6A"/>
    <w:rsid w:val="00A35C7F"/>
    <w:rsid w:val="00A36532"/>
    <w:rsid w:val="00A36758"/>
    <w:rsid w:val="00A40D40"/>
    <w:rsid w:val="00A410B7"/>
    <w:rsid w:val="00A4220D"/>
    <w:rsid w:val="00A42333"/>
    <w:rsid w:val="00A43EFC"/>
    <w:rsid w:val="00A44403"/>
    <w:rsid w:val="00A4511F"/>
    <w:rsid w:val="00A451E6"/>
    <w:rsid w:val="00A45380"/>
    <w:rsid w:val="00A454DE"/>
    <w:rsid w:val="00A4566D"/>
    <w:rsid w:val="00A46511"/>
    <w:rsid w:val="00A46CA7"/>
    <w:rsid w:val="00A47877"/>
    <w:rsid w:val="00A47CED"/>
    <w:rsid w:val="00A47DEF"/>
    <w:rsid w:val="00A50C0D"/>
    <w:rsid w:val="00A52A7E"/>
    <w:rsid w:val="00A52F17"/>
    <w:rsid w:val="00A53153"/>
    <w:rsid w:val="00A53933"/>
    <w:rsid w:val="00A53CB9"/>
    <w:rsid w:val="00A54366"/>
    <w:rsid w:val="00A573EF"/>
    <w:rsid w:val="00A57632"/>
    <w:rsid w:val="00A62882"/>
    <w:rsid w:val="00A643F3"/>
    <w:rsid w:val="00A644B5"/>
    <w:rsid w:val="00A656AA"/>
    <w:rsid w:val="00A65AB2"/>
    <w:rsid w:val="00A66164"/>
    <w:rsid w:val="00A663D1"/>
    <w:rsid w:val="00A66B20"/>
    <w:rsid w:val="00A67699"/>
    <w:rsid w:val="00A67CB8"/>
    <w:rsid w:val="00A67CE6"/>
    <w:rsid w:val="00A70014"/>
    <w:rsid w:val="00A71ECC"/>
    <w:rsid w:val="00A71F41"/>
    <w:rsid w:val="00A71FFB"/>
    <w:rsid w:val="00A722C2"/>
    <w:rsid w:val="00A72DD7"/>
    <w:rsid w:val="00A73368"/>
    <w:rsid w:val="00A74241"/>
    <w:rsid w:val="00A75321"/>
    <w:rsid w:val="00A7591E"/>
    <w:rsid w:val="00A75D5C"/>
    <w:rsid w:val="00A75DCF"/>
    <w:rsid w:val="00A76B5F"/>
    <w:rsid w:val="00A8140E"/>
    <w:rsid w:val="00A81B4E"/>
    <w:rsid w:val="00A826E5"/>
    <w:rsid w:val="00A829A2"/>
    <w:rsid w:val="00A82D29"/>
    <w:rsid w:val="00A82E70"/>
    <w:rsid w:val="00A837A1"/>
    <w:rsid w:val="00A85FA4"/>
    <w:rsid w:val="00A864B0"/>
    <w:rsid w:val="00A868C4"/>
    <w:rsid w:val="00A8709E"/>
    <w:rsid w:val="00A8745C"/>
    <w:rsid w:val="00A87BAD"/>
    <w:rsid w:val="00A87D6D"/>
    <w:rsid w:val="00A87E09"/>
    <w:rsid w:val="00A90A61"/>
    <w:rsid w:val="00A913B8"/>
    <w:rsid w:val="00A91A64"/>
    <w:rsid w:val="00A91C84"/>
    <w:rsid w:val="00A92C0C"/>
    <w:rsid w:val="00A92D46"/>
    <w:rsid w:val="00A94AC2"/>
    <w:rsid w:val="00A95121"/>
    <w:rsid w:val="00A95216"/>
    <w:rsid w:val="00A95CA8"/>
    <w:rsid w:val="00A97EB0"/>
    <w:rsid w:val="00AA0221"/>
    <w:rsid w:val="00AA05A3"/>
    <w:rsid w:val="00AA20D7"/>
    <w:rsid w:val="00AA2A12"/>
    <w:rsid w:val="00AA32A3"/>
    <w:rsid w:val="00AA40C1"/>
    <w:rsid w:val="00AA4781"/>
    <w:rsid w:val="00AA5CE3"/>
    <w:rsid w:val="00AA6F8B"/>
    <w:rsid w:val="00AA7E99"/>
    <w:rsid w:val="00AB0184"/>
    <w:rsid w:val="00AB2040"/>
    <w:rsid w:val="00AB2A8E"/>
    <w:rsid w:val="00AB2EA4"/>
    <w:rsid w:val="00AB418A"/>
    <w:rsid w:val="00AB4EE1"/>
    <w:rsid w:val="00AB5172"/>
    <w:rsid w:val="00AB57EB"/>
    <w:rsid w:val="00AB6CB5"/>
    <w:rsid w:val="00AB7FE3"/>
    <w:rsid w:val="00AC00BC"/>
    <w:rsid w:val="00AC02C7"/>
    <w:rsid w:val="00AC17FE"/>
    <w:rsid w:val="00AC255D"/>
    <w:rsid w:val="00AC40CF"/>
    <w:rsid w:val="00AC53BF"/>
    <w:rsid w:val="00AC703E"/>
    <w:rsid w:val="00AC731D"/>
    <w:rsid w:val="00AD0B35"/>
    <w:rsid w:val="00AD0EA9"/>
    <w:rsid w:val="00AD359F"/>
    <w:rsid w:val="00AD3F0A"/>
    <w:rsid w:val="00AD789D"/>
    <w:rsid w:val="00AE0B04"/>
    <w:rsid w:val="00AE11A7"/>
    <w:rsid w:val="00AE18F5"/>
    <w:rsid w:val="00AE200C"/>
    <w:rsid w:val="00AE2E0B"/>
    <w:rsid w:val="00AE46CC"/>
    <w:rsid w:val="00AE6223"/>
    <w:rsid w:val="00AE62CB"/>
    <w:rsid w:val="00AE63EE"/>
    <w:rsid w:val="00AE69B6"/>
    <w:rsid w:val="00AE7A8E"/>
    <w:rsid w:val="00AF05CB"/>
    <w:rsid w:val="00AF2044"/>
    <w:rsid w:val="00AF27DE"/>
    <w:rsid w:val="00AF2EAF"/>
    <w:rsid w:val="00AF31A8"/>
    <w:rsid w:val="00AF3F01"/>
    <w:rsid w:val="00AF4092"/>
    <w:rsid w:val="00AF4106"/>
    <w:rsid w:val="00AF603A"/>
    <w:rsid w:val="00AF6822"/>
    <w:rsid w:val="00AF7452"/>
    <w:rsid w:val="00AF7986"/>
    <w:rsid w:val="00B008B4"/>
    <w:rsid w:val="00B0336C"/>
    <w:rsid w:val="00B04127"/>
    <w:rsid w:val="00B04AB7"/>
    <w:rsid w:val="00B04E7B"/>
    <w:rsid w:val="00B052DE"/>
    <w:rsid w:val="00B06032"/>
    <w:rsid w:val="00B06A84"/>
    <w:rsid w:val="00B06B24"/>
    <w:rsid w:val="00B07A54"/>
    <w:rsid w:val="00B10575"/>
    <w:rsid w:val="00B1146D"/>
    <w:rsid w:val="00B1162E"/>
    <w:rsid w:val="00B12800"/>
    <w:rsid w:val="00B12B73"/>
    <w:rsid w:val="00B13272"/>
    <w:rsid w:val="00B14501"/>
    <w:rsid w:val="00B14563"/>
    <w:rsid w:val="00B1529A"/>
    <w:rsid w:val="00B15525"/>
    <w:rsid w:val="00B16291"/>
    <w:rsid w:val="00B16B97"/>
    <w:rsid w:val="00B20562"/>
    <w:rsid w:val="00B20D87"/>
    <w:rsid w:val="00B212B4"/>
    <w:rsid w:val="00B216C6"/>
    <w:rsid w:val="00B217CA"/>
    <w:rsid w:val="00B228E1"/>
    <w:rsid w:val="00B24122"/>
    <w:rsid w:val="00B24D21"/>
    <w:rsid w:val="00B2503B"/>
    <w:rsid w:val="00B25259"/>
    <w:rsid w:val="00B257E7"/>
    <w:rsid w:val="00B25A52"/>
    <w:rsid w:val="00B267FC"/>
    <w:rsid w:val="00B26D87"/>
    <w:rsid w:val="00B27955"/>
    <w:rsid w:val="00B312F5"/>
    <w:rsid w:val="00B3158C"/>
    <w:rsid w:val="00B31691"/>
    <w:rsid w:val="00B316D2"/>
    <w:rsid w:val="00B31DC2"/>
    <w:rsid w:val="00B32AE8"/>
    <w:rsid w:val="00B33542"/>
    <w:rsid w:val="00B33B88"/>
    <w:rsid w:val="00B34E3F"/>
    <w:rsid w:val="00B35023"/>
    <w:rsid w:val="00B354F7"/>
    <w:rsid w:val="00B35847"/>
    <w:rsid w:val="00B3614B"/>
    <w:rsid w:val="00B3686D"/>
    <w:rsid w:val="00B40B40"/>
    <w:rsid w:val="00B410D7"/>
    <w:rsid w:val="00B41500"/>
    <w:rsid w:val="00B43BDE"/>
    <w:rsid w:val="00B43C85"/>
    <w:rsid w:val="00B43FB6"/>
    <w:rsid w:val="00B44435"/>
    <w:rsid w:val="00B451D2"/>
    <w:rsid w:val="00B466B5"/>
    <w:rsid w:val="00B478B5"/>
    <w:rsid w:val="00B47B57"/>
    <w:rsid w:val="00B50E18"/>
    <w:rsid w:val="00B51052"/>
    <w:rsid w:val="00B51E9F"/>
    <w:rsid w:val="00B52664"/>
    <w:rsid w:val="00B53379"/>
    <w:rsid w:val="00B543D9"/>
    <w:rsid w:val="00B54FC3"/>
    <w:rsid w:val="00B551C7"/>
    <w:rsid w:val="00B5587C"/>
    <w:rsid w:val="00B558B4"/>
    <w:rsid w:val="00B55CA4"/>
    <w:rsid w:val="00B5675D"/>
    <w:rsid w:val="00B56988"/>
    <w:rsid w:val="00B56BCA"/>
    <w:rsid w:val="00B57128"/>
    <w:rsid w:val="00B57B3E"/>
    <w:rsid w:val="00B57E93"/>
    <w:rsid w:val="00B60BF4"/>
    <w:rsid w:val="00B611F4"/>
    <w:rsid w:val="00B61380"/>
    <w:rsid w:val="00B619C7"/>
    <w:rsid w:val="00B61BCC"/>
    <w:rsid w:val="00B61BFD"/>
    <w:rsid w:val="00B6294E"/>
    <w:rsid w:val="00B63A98"/>
    <w:rsid w:val="00B63B3F"/>
    <w:rsid w:val="00B6564E"/>
    <w:rsid w:val="00B66902"/>
    <w:rsid w:val="00B66AA5"/>
    <w:rsid w:val="00B678AF"/>
    <w:rsid w:val="00B7003C"/>
    <w:rsid w:val="00B70EAD"/>
    <w:rsid w:val="00B71688"/>
    <w:rsid w:val="00B7188B"/>
    <w:rsid w:val="00B76327"/>
    <w:rsid w:val="00B767D7"/>
    <w:rsid w:val="00B76D59"/>
    <w:rsid w:val="00B80D29"/>
    <w:rsid w:val="00B8107B"/>
    <w:rsid w:val="00B81491"/>
    <w:rsid w:val="00B8191B"/>
    <w:rsid w:val="00B81E1C"/>
    <w:rsid w:val="00B82B89"/>
    <w:rsid w:val="00B82BBA"/>
    <w:rsid w:val="00B82EC4"/>
    <w:rsid w:val="00B83799"/>
    <w:rsid w:val="00B84F0F"/>
    <w:rsid w:val="00B850E9"/>
    <w:rsid w:val="00B86DED"/>
    <w:rsid w:val="00B87D4C"/>
    <w:rsid w:val="00B906BC"/>
    <w:rsid w:val="00B91AFF"/>
    <w:rsid w:val="00B92B9E"/>
    <w:rsid w:val="00B948E8"/>
    <w:rsid w:val="00B94AB9"/>
    <w:rsid w:val="00B94B05"/>
    <w:rsid w:val="00B96A2A"/>
    <w:rsid w:val="00B97690"/>
    <w:rsid w:val="00B97867"/>
    <w:rsid w:val="00B97B00"/>
    <w:rsid w:val="00BA0E2D"/>
    <w:rsid w:val="00BA128C"/>
    <w:rsid w:val="00BA17F2"/>
    <w:rsid w:val="00BA2CB8"/>
    <w:rsid w:val="00BA2E68"/>
    <w:rsid w:val="00BA3745"/>
    <w:rsid w:val="00BA39A8"/>
    <w:rsid w:val="00BA3B2B"/>
    <w:rsid w:val="00BA3C17"/>
    <w:rsid w:val="00BA4C0C"/>
    <w:rsid w:val="00BA54DC"/>
    <w:rsid w:val="00BA5B18"/>
    <w:rsid w:val="00BA63A9"/>
    <w:rsid w:val="00BA6CFA"/>
    <w:rsid w:val="00BB0F46"/>
    <w:rsid w:val="00BB1CBF"/>
    <w:rsid w:val="00BB321A"/>
    <w:rsid w:val="00BB7EB1"/>
    <w:rsid w:val="00BC0522"/>
    <w:rsid w:val="00BC08DB"/>
    <w:rsid w:val="00BC1178"/>
    <w:rsid w:val="00BC1666"/>
    <w:rsid w:val="00BC189C"/>
    <w:rsid w:val="00BC20AE"/>
    <w:rsid w:val="00BC22D0"/>
    <w:rsid w:val="00BC2619"/>
    <w:rsid w:val="00BC3854"/>
    <w:rsid w:val="00BC3A6C"/>
    <w:rsid w:val="00BC4631"/>
    <w:rsid w:val="00BC5768"/>
    <w:rsid w:val="00BC5E52"/>
    <w:rsid w:val="00BC64D0"/>
    <w:rsid w:val="00BC7C68"/>
    <w:rsid w:val="00BD06FB"/>
    <w:rsid w:val="00BD398E"/>
    <w:rsid w:val="00BD500E"/>
    <w:rsid w:val="00BD5C82"/>
    <w:rsid w:val="00BD5EB7"/>
    <w:rsid w:val="00BD6360"/>
    <w:rsid w:val="00BD72AC"/>
    <w:rsid w:val="00BE07F4"/>
    <w:rsid w:val="00BE0B72"/>
    <w:rsid w:val="00BE206D"/>
    <w:rsid w:val="00BE3873"/>
    <w:rsid w:val="00BE38B8"/>
    <w:rsid w:val="00BE4E91"/>
    <w:rsid w:val="00BE4E96"/>
    <w:rsid w:val="00BE513D"/>
    <w:rsid w:val="00BE58EA"/>
    <w:rsid w:val="00BE61B4"/>
    <w:rsid w:val="00BE699F"/>
    <w:rsid w:val="00BE704F"/>
    <w:rsid w:val="00BE70EC"/>
    <w:rsid w:val="00BE77D9"/>
    <w:rsid w:val="00BE7889"/>
    <w:rsid w:val="00BE7CEE"/>
    <w:rsid w:val="00BE7F46"/>
    <w:rsid w:val="00BF0290"/>
    <w:rsid w:val="00BF03FB"/>
    <w:rsid w:val="00BF05E7"/>
    <w:rsid w:val="00BF1740"/>
    <w:rsid w:val="00BF2049"/>
    <w:rsid w:val="00BF244F"/>
    <w:rsid w:val="00BF3C27"/>
    <w:rsid w:val="00BF440F"/>
    <w:rsid w:val="00BF4893"/>
    <w:rsid w:val="00BF4BB0"/>
    <w:rsid w:val="00C01A12"/>
    <w:rsid w:val="00C04DD6"/>
    <w:rsid w:val="00C05070"/>
    <w:rsid w:val="00C05804"/>
    <w:rsid w:val="00C05CC9"/>
    <w:rsid w:val="00C0777A"/>
    <w:rsid w:val="00C079CE"/>
    <w:rsid w:val="00C10239"/>
    <w:rsid w:val="00C10A6F"/>
    <w:rsid w:val="00C110D8"/>
    <w:rsid w:val="00C11445"/>
    <w:rsid w:val="00C11B9F"/>
    <w:rsid w:val="00C12650"/>
    <w:rsid w:val="00C1322C"/>
    <w:rsid w:val="00C14DF7"/>
    <w:rsid w:val="00C15603"/>
    <w:rsid w:val="00C1582E"/>
    <w:rsid w:val="00C165ED"/>
    <w:rsid w:val="00C16A83"/>
    <w:rsid w:val="00C16BBF"/>
    <w:rsid w:val="00C17272"/>
    <w:rsid w:val="00C2206B"/>
    <w:rsid w:val="00C22810"/>
    <w:rsid w:val="00C23693"/>
    <w:rsid w:val="00C242B3"/>
    <w:rsid w:val="00C24765"/>
    <w:rsid w:val="00C256E6"/>
    <w:rsid w:val="00C2589A"/>
    <w:rsid w:val="00C259F0"/>
    <w:rsid w:val="00C2632F"/>
    <w:rsid w:val="00C265D4"/>
    <w:rsid w:val="00C26B01"/>
    <w:rsid w:val="00C26BC5"/>
    <w:rsid w:val="00C31AB3"/>
    <w:rsid w:val="00C31DF2"/>
    <w:rsid w:val="00C3207B"/>
    <w:rsid w:val="00C32EB3"/>
    <w:rsid w:val="00C33091"/>
    <w:rsid w:val="00C33221"/>
    <w:rsid w:val="00C33250"/>
    <w:rsid w:val="00C33CC2"/>
    <w:rsid w:val="00C340D5"/>
    <w:rsid w:val="00C35D12"/>
    <w:rsid w:val="00C36DD8"/>
    <w:rsid w:val="00C37E20"/>
    <w:rsid w:val="00C45855"/>
    <w:rsid w:val="00C479A1"/>
    <w:rsid w:val="00C503ED"/>
    <w:rsid w:val="00C506AC"/>
    <w:rsid w:val="00C509C6"/>
    <w:rsid w:val="00C52AB9"/>
    <w:rsid w:val="00C52EF9"/>
    <w:rsid w:val="00C53325"/>
    <w:rsid w:val="00C536A2"/>
    <w:rsid w:val="00C53B9D"/>
    <w:rsid w:val="00C53EDB"/>
    <w:rsid w:val="00C543E4"/>
    <w:rsid w:val="00C57CFA"/>
    <w:rsid w:val="00C608EA"/>
    <w:rsid w:val="00C60E2B"/>
    <w:rsid w:val="00C61473"/>
    <w:rsid w:val="00C62FFB"/>
    <w:rsid w:val="00C63FD4"/>
    <w:rsid w:val="00C64DF1"/>
    <w:rsid w:val="00C6679F"/>
    <w:rsid w:val="00C70551"/>
    <w:rsid w:val="00C709E3"/>
    <w:rsid w:val="00C71036"/>
    <w:rsid w:val="00C71873"/>
    <w:rsid w:val="00C71CE5"/>
    <w:rsid w:val="00C72D9C"/>
    <w:rsid w:val="00C751D3"/>
    <w:rsid w:val="00C75D08"/>
    <w:rsid w:val="00C75DE7"/>
    <w:rsid w:val="00C7727F"/>
    <w:rsid w:val="00C80BD4"/>
    <w:rsid w:val="00C80FFA"/>
    <w:rsid w:val="00C81074"/>
    <w:rsid w:val="00C8124A"/>
    <w:rsid w:val="00C814ED"/>
    <w:rsid w:val="00C81516"/>
    <w:rsid w:val="00C8199D"/>
    <w:rsid w:val="00C828EC"/>
    <w:rsid w:val="00C840F7"/>
    <w:rsid w:val="00C85D6C"/>
    <w:rsid w:val="00C865C5"/>
    <w:rsid w:val="00C86616"/>
    <w:rsid w:val="00C86A55"/>
    <w:rsid w:val="00C8700E"/>
    <w:rsid w:val="00C87FAC"/>
    <w:rsid w:val="00C9177D"/>
    <w:rsid w:val="00C9301B"/>
    <w:rsid w:val="00C93ABB"/>
    <w:rsid w:val="00C93E57"/>
    <w:rsid w:val="00C94211"/>
    <w:rsid w:val="00C94BD2"/>
    <w:rsid w:val="00C956E1"/>
    <w:rsid w:val="00C96067"/>
    <w:rsid w:val="00C9612F"/>
    <w:rsid w:val="00C97645"/>
    <w:rsid w:val="00CA04CF"/>
    <w:rsid w:val="00CA1264"/>
    <w:rsid w:val="00CA1272"/>
    <w:rsid w:val="00CA1F4B"/>
    <w:rsid w:val="00CA2EB8"/>
    <w:rsid w:val="00CA3C02"/>
    <w:rsid w:val="00CA3D9B"/>
    <w:rsid w:val="00CA3DD1"/>
    <w:rsid w:val="00CA3FD9"/>
    <w:rsid w:val="00CA626B"/>
    <w:rsid w:val="00CA6594"/>
    <w:rsid w:val="00CA6ED6"/>
    <w:rsid w:val="00CA7236"/>
    <w:rsid w:val="00CA7878"/>
    <w:rsid w:val="00CA7C42"/>
    <w:rsid w:val="00CA7C95"/>
    <w:rsid w:val="00CB0034"/>
    <w:rsid w:val="00CB1D20"/>
    <w:rsid w:val="00CB1D9A"/>
    <w:rsid w:val="00CB35EB"/>
    <w:rsid w:val="00CB4E18"/>
    <w:rsid w:val="00CB586C"/>
    <w:rsid w:val="00CB6B16"/>
    <w:rsid w:val="00CB6DAB"/>
    <w:rsid w:val="00CB75B2"/>
    <w:rsid w:val="00CB7F7E"/>
    <w:rsid w:val="00CC087D"/>
    <w:rsid w:val="00CC0C87"/>
    <w:rsid w:val="00CC1A3F"/>
    <w:rsid w:val="00CC1D35"/>
    <w:rsid w:val="00CC2A6F"/>
    <w:rsid w:val="00CC3D7B"/>
    <w:rsid w:val="00CC4100"/>
    <w:rsid w:val="00CC4812"/>
    <w:rsid w:val="00CC49B8"/>
    <w:rsid w:val="00CC4E12"/>
    <w:rsid w:val="00CC4E8F"/>
    <w:rsid w:val="00CC7F82"/>
    <w:rsid w:val="00CC7FB1"/>
    <w:rsid w:val="00CD178C"/>
    <w:rsid w:val="00CD1D0C"/>
    <w:rsid w:val="00CD345A"/>
    <w:rsid w:val="00CD62EF"/>
    <w:rsid w:val="00CD6426"/>
    <w:rsid w:val="00CD68FC"/>
    <w:rsid w:val="00CD6F88"/>
    <w:rsid w:val="00CD7933"/>
    <w:rsid w:val="00CD7C5D"/>
    <w:rsid w:val="00CE09BC"/>
    <w:rsid w:val="00CE178B"/>
    <w:rsid w:val="00CE1898"/>
    <w:rsid w:val="00CE1974"/>
    <w:rsid w:val="00CE3147"/>
    <w:rsid w:val="00CE44A0"/>
    <w:rsid w:val="00CE4C74"/>
    <w:rsid w:val="00CE58EA"/>
    <w:rsid w:val="00CE5920"/>
    <w:rsid w:val="00CE5B98"/>
    <w:rsid w:val="00CE77FD"/>
    <w:rsid w:val="00CF0643"/>
    <w:rsid w:val="00CF0FBA"/>
    <w:rsid w:val="00CF27FF"/>
    <w:rsid w:val="00CF2AC0"/>
    <w:rsid w:val="00CF2FF2"/>
    <w:rsid w:val="00CF3180"/>
    <w:rsid w:val="00CF31DD"/>
    <w:rsid w:val="00CF3959"/>
    <w:rsid w:val="00CF5349"/>
    <w:rsid w:val="00CF5F30"/>
    <w:rsid w:val="00D00C82"/>
    <w:rsid w:val="00D010FA"/>
    <w:rsid w:val="00D0122B"/>
    <w:rsid w:val="00D013B5"/>
    <w:rsid w:val="00D02354"/>
    <w:rsid w:val="00D029A5"/>
    <w:rsid w:val="00D02EF6"/>
    <w:rsid w:val="00D02F5A"/>
    <w:rsid w:val="00D031A6"/>
    <w:rsid w:val="00D03476"/>
    <w:rsid w:val="00D0396F"/>
    <w:rsid w:val="00D03F16"/>
    <w:rsid w:val="00D04ADF"/>
    <w:rsid w:val="00D058F0"/>
    <w:rsid w:val="00D065AB"/>
    <w:rsid w:val="00D06D80"/>
    <w:rsid w:val="00D106CA"/>
    <w:rsid w:val="00D10F00"/>
    <w:rsid w:val="00D10F75"/>
    <w:rsid w:val="00D11364"/>
    <w:rsid w:val="00D11AAC"/>
    <w:rsid w:val="00D11B3E"/>
    <w:rsid w:val="00D11D62"/>
    <w:rsid w:val="00D14BD5"/>
    <w:rsid w:val="00D15268"/>
    <w:rsid w:val="00D15B79"/>
    <w:rsid w:val="00D160F2"/>
    <w:rsid w:val="00D21178"/>
    <w:rsid w:val="00D21BBF"/>
    <w:rsid w:val="00D2293C"/>
    <w:rsid w:val="00D23982"/>
    <w:rsid w:val="00D24301"/>
    <w:rsid w:val="00D24E9B"/>
    <w:rsid w:val="00D25762"/>
    <w:rsid w:val="00D30C2D"/>
    <w:rsid w:val="00D319F3"/>
    <w:rsid w:val="00D3259E"/>
    <w:rsid w:val="00D33A0E"/>
    <w:rsid w:val="00D33B94"/>
    <w:rsid w:val="00D34FAA"/>
    <w:rsid w:val="00D36FEA"/>
    <w:rsid w:val="00D37D65"/>
    <w:rsid w:val="00D404F1"/>
    <w:rsid w:val="00D40A35"/>
    <w:rsid w:val="00D419AB"/>
    <w:rsid w:val="00D42494"/>
    <w:rsid w:val="00D429DC"/>
    <w:rsid w:val="00D43143"/>
    <w:rsid w:val="00D43A0A"/>
    <w:rsid w:val="00D45FB1"/>
    <w:rsid w:val="00D46014"/>
    <w:rsid w:val="00D46AD7"/>
    <w:rsid w:val="00D46B16"/>
    <w:rsid w:val="00D4746E"/>
    <w:rsid w:val="00D502A9"/>
    <w:rsid w:val="00D513FE"/>
    <w:rsid w:val="00D51BD8"/>
    <w:rsid w:val="00D51BDC"/>
    <w:rsid w:val="00D52534"/>
    <w:rsid w:val="00D53953"/>
    <w:rsid w:val="00D556D7"/>
    <w:rsid w:val="00D55845"/>
    <w:rsid w:val="00D55937"/>
    <w:rsid w:val="00D576E1"/>
    <w:rsid w:val="00D60317"/>
    <w:rsid w:val="00D60D26"/>
    <w:rsid w:val="00D61BD5"/>
    <w:rsid w:val="00D61D15"/>
    <w:rsid w:val="00D6375D"/>
    <w:rsid w:val="00D63DBE"/>
    <w:rsid w:val="00D643F5"/>
    <w:rsid w:val="00D648B3"/>
    <w:rsid w:val="00D66527"/>
    <w:rsid w:val="00D66B4A"/>
    <w:rsid w:val="00D672AB"/>
    <w:rsid w:val="00D67C62"/>
    <w:rsid w:val="00D67D2E"/>
    <w:rsid w:val="00D71A13"/>
    <w:rsid w:val="00D71A4E"/>
    <w:rsid w:val="00D721D1"/>
    <w:rsid w:val="00D73686"/>
    <w:rsid w:val="00D73EED"/>
    <w:rsid w:val="00D75109"/>
    <w:rsid w:val="00D75B58"/>
    <w:rsid w:val="00D7730F"/>
    <w:rsid w:val="00D77F42"/>
    <w:rsid w:val="00D81144"/>
    <w:rsid w:val="00D823EA"/>
    <w:rsid w:val="00D829F3"/>
    <w:rsid w:val="00D83461"/>
    <w:rsid w:val="00D847AC"/>
    <w:rsid w:val="00D855B5"/>
    <w:rsid w:val="00D85A22"/>
    <w:rsid w:val="00D85B36"/>
    <w:rsid w:val="00D863CF"/>
    <w:rsid w:val="00D86B17"/>
    <w:rsid w:val="00D87157"/>
    <w:rsid w:val="00D91338"/>
    <w:rsid w:val="00D928BC"/>
    <w:rsid w:val="00D9494F"/>
    <w:rsid w:val="00D95013"/>
    <w:rsid w:val="00D95313"/>
    <w:rsid w:val="00D957B1"/>
    <w:rsid w:val="00D95BD3"/>
    <w:rsid w:val="00D96515"/>
    <w:rsid w:val="00D96EDC"/>
    <w:rsid w:val="00DA0A1A"/>
    <w:rsid w:val="00DA0BC8"/>
    <w:rsid w:val="00DA1A7A"/>
    <w:rsid w:val="00DA1E7D"/>
    <w:rsid w:val="00DA2910"/>
    <w:rsid w:val="00DA3A93"/>
    <w:rsid w:val="00DA505A"/>
    <w:rsid w:val="00DA62BC"/>
    <w:rsid w:val="00DA6798"/>
    <w:rsid w:val="00DA6C31"/>
    <w:rsid w:val="00DA6D1B"/>
    <w:rsid w:val="00DB0290"/>
    <w:rsid w:val="00DB03C9"/>
    <w:rsid w:val="00DB24F8"/>
    <w:rsid w:val="00DB273C"/>
    <w:rsid w:val="00DB366A"/>
    <w:rsid w:val="00DB3B84"/>
    <w:rsid w:val="00DB3D87"/>
    <w:rsid w:val="00DB5303"/>
    <w:rsid w:val="00DB5520"/>
    <w:rsid w:val="00DB6A85"/>
    <w:rsid w:val="00DB7CB6"/>
    <w:rsid w:val="00DC1B35"/>
    <w:rsid w:val="00DC29B7"/>
    <w:rsid w:val="00DC3900"/>
    <w:rsid w:val="00DC41AC"/>
    <w:rsid w:val="00DC45E2"/>
    <w:rsid w:val="00DC47F1"/>
    <w:rsid w:val="00DC54D5"/>
    <w:rsid w:val="00DD00F8"/>
    <w:rsid w:val="00DD0577"/>
    <w:rsid w:val="00DD06E3"/>
    <w:rsid w:val="00DD22D9"/>
    <w:rsid w:val="00DD2A95"/>
    <w:rsid w:val="00DD2D5F"/>
    <w:rsid w:val="00DD6623"/>
    <w:rsid w:val="00DD6FEE"/>
    <w:rsid w:val="00DD776F"/>
    <w:rsid w:val="00DD7F06"/>
    <w:rsid w:val="00DE00BC"/>
    <w:rsid w:val="00DE04FC"/>
    <w:rsid w:val="00DE0BF2"/>
    <w:rsid w:val="00DE2038"/>
    <w:rsid w:val="00DE2650"/>
    <w:rsid w:val="00DE2DE4"/>
    <w:rsid w:val="00DE522D"/>
    <w:rsid w:val="00DE54CD"/>
    <w:rsid w:val="00DE5C9F"/>
    <w:rsid w:val="00DE68FA"/>
    <w:rsid w:val="00DE6DDE"/>
    <w:rsid w:val="00DE7677"/>
    <w:rsid w:val="00DE7FCA"/>
    <w:rsid w:val="00DF08E3"/>
    <w:rsid w:val="00DF19BC"/>
    <w:rsid w:val="00DF3016"/>
    <w:rsid w:val="00DF3712"/>
    <w:rsid w:val="00DF48AC"/>
    <w:rsid w:val="00DF5C32"/>
    <w:rsid w:val="00DF6BD4"/>
    <w:rsid w:val="00DF706F"/>
    <w:rsid w:val="00E00A8A"/>
    <w:rsid w:val="00E02F0F"/>
    <w:rsid w:val="00E03A61"/>
    <w:rsid w:val="00E03DF4"/>
    <w:rsid w:val="00E03FC9"/>
    <w:rsid w:val="00E0442C"/>
    <w:rsid w:val="00E04845"/>
    <w:rsid w:val="00E04ED4"/>
    <w:rsid w:val="00E05C83"/>
    <w:rsid w:val="00E104A0"/>
    <w:rsid w:val="00E12153"/>
    <w:rsid w:val="00E13D6A"/>
    <w:rsid w:val="00E14322"/>
    <w:rsid w:val="00E14BA5"/>
    <w:rsid w:val="00E1521D"/>
    <w:rsid w:val="00E15C55"/>
    <w:rsid w:val="00E16548"/>
    <w:rsid w:val="00E17B78"/>
    <w:rsid w:val="00E21263"/>
    <w:rsid w:val="00E21EC9"/>
    <w:rsid w:val="00E2219A"/>
    <w:rsid w:val="00E222C8"/>
    <w:rsid w:val="00E226BF"/>
    <w:rsid w:val="00E23A0E"/>
    <w:rsid w:val="00E2459C"/>
    <w:rsid w:val="00E24AEA"/>
    <w:rsid w:val="00E25011"/>
    <w:rsid w:val="00E25787"/>
    <w:rsid w:val="00E26045"/>
    <w:rsid w:val="00E26134"/>
    <w:rsid w:val="00E2650F"/>
    <w:rsid w:val="00E2750A"/>
    <w:rsid w:val="00E3038B"/>
    <w:rsid w:val="00E31B10"/>
    <w:rsid w:val="00E31D05"/>
    <w:rsid w:val="00E31D4F"/>
    <w:rsid w:val="00E32476"/>
    <w:rsid w:val="00E33DD4"/>
    <w:rsid w:val="00E33E5A"/>
    <w:rsid w:val="00E34490"/>
    <w:rsid w:val="00E34D32"/>
    <w:rsid w:val="00E352FE"/>
    <w:rsid w:val="00E353D9"/>
    <w:rsid w:val="00E36668"/>
    <w:rsid w:val="00E400A3"/>
    <w:rsid w:val="00E41582"/>
    <w:rsid w:val="00E4208D"/>
    <w:rsid w:val="00E422DC"/>
    <w:rsid w:val="00E42368"/>
    <w:rsid w:val="00E42B1C"/>
    <w:rsid w:val="00E43208"/>
    <w:rsid w:val="00E43318"/>
    <w:rsid w:val="00E45AC3"/>
    <w:rsid w:val="00E465A8"/>
    <w:rsid w:val="00E465F7"/>
    <w:rsid w:val="00E467A2"/>
    <w:rsid w:val="00E50655"/>
    <w:rsid w:val="00E512AB"/>
    <w:rsid w:val="00E514EC"/>
    <w:rsid w:val="00E51B71"/>
    <w:rsid w:val="00E52C8B"/>
    <w:rsid w:val="00E5321E"/>
    <w:rsid w:val="00E53226"/>
    <w:rsid w:val="00E53B4C"/>
    <w:rsid w:val="00E5401F"/>
    <w:rsid w:val="00E54DAB"/>
    <w:rsid w:val="00E553A9"/>
    <w:rsid w:val="00E55482"/>
    <w:rsid w:val="00E558E4"/>
    <w:rsid w:val="00E56C0E"/>
    <w:rsid w:val="00E57C23"/>
    <w:rsid w:val="00E60648"/>
    <w:rsid w:val="00E609E9"/>
    <w:rsid w:val="00E6131B"/>
    <w:rsid w:val="00E616D3"/>
    <w:rsid w:val="00E61DEA"/>
    <w:rsid w:val="00E63A0C"/>
    <w:rsid w:val="00E64764"/>
    <w:rsid w:val="00E6614D"/>
    <w:rsid w:val="00E669A7"/>
    <w:rsid w:val="00E66CC4"/>
    <w:rsid w:val="00E66E77"/>
    <w:rsid w:val="00E674D7"/>
    <w:rsid w:val="00E711E6"/>
    <w:rsid w:val="00E714AD"/>
    <w:rsid w:val="00E716A8"/>
    <w:rsid w:val="00E717EB"/>
    <w:rsid w:val="00E7339A"/>
    <w:rsid w:val="00E73F55"/>
    <w:rsid w:val="00E74A35"/>
    <w:rsid w:val="00E74CE0"/>
    <w:rsid w:val="00E74E51"/>
    <w:rsid w:val="00E76108"/>
    <w:rsid w:val="00E76CA0"/>
    <w:rsid w:val="00E773B6"/>
    <w:rsid w:val="00E77F0A"/>
    <w:rsid w:val="00E800A9"/>
    <w:rsid w:val="00E81AED"/>
    <w:rsid w:val="00E82D51"/>
    <w:rsid w:val="00E82DAC"/>
    <w:rsid w:val="00E82EBC"/>
    <w:rsid w:val="00E83BE8"/>
    <w:rsid w:val="00E84183"/>
    <w:rsid w:val="00E854D2"/>
    <w:rsid w:val="00E86789"/>
    <w:rsid w:val="00E908F5"/>
    <w:rsid w:val="00E91CB5"/>
    <w:rsid w:val="00E91DC4"/>
    <w:rsid w:val="00E92723"/>
    <w:rsid w:val="00E92D0A"/>
    <w:rsid w:val="00E939B8"/>
    <w:rsid w:val="00E95909"/>
    <w:rsid w:val="00E959DF"/>
    <w:rsid w:val="00E95ACC"/>
    <w:rsid w:val="00E9702C"/>
    <w:rsid w:val="00E9716E"/>
    <w:rsid w:val="00E97749"/>
    <w:rsid w:val="00EA06A9"/>
    <w:rsid w:val="00EA0A36"/>
    <w:rsid w:val="00EA1A1A"/>
    <w:rsid w:val="00EA25D2"/>
    <w:rsid w:val="00EA360D"/>
    <w:rsid w:val="00EA37F5"/>
    <w:rsid w:val="00EA3A2C"/>
    <w:rsid w:val="00EA3E03"/>
    <w:rsid w:val="00EA4349"/>
    <w:rsid w:val="00EA618F"/>
    <w:rsid w:val="00EA67BC"/>
    <w:rsid w:val="00EA6B4D"/>
    <w:rsid w:val="00EA6C3B"/>
    <w:rsid w:val="00EB0DD4"/>
    <w:rsid w:val="00EB22B6"/>
    <w:rsid w:val="00EB416B"/>
    <w:rsid w:val="00EB49AA"/>
    <w:rsid w:val="00EB4D29"/>
    <w:rsid w:val="00EB4F65"/>
    <w:rsid w:val="00EB515E"/>
    <w:rsid w:val="00EB55D6"/>
    <w:rsid w:val="00EB59E4"/>
    <w:rsid w:val="00EB6E34"/>
    <w:rsid w:val="00EB7612"/>
    <w:rsid w:val="00EC03D7"/>
    <w:rsid w:val="00EC35A1"/>
    <w:rsid w:val="00EC4D22"/>
    <w:rsid w:val="00EC7B3D"/>
    <w:rsid w:val="00ED1661"/>
    <w:rsid w:val="00ED2EB4"/>
    <w:rsid w:val="00ED45B0"/>
    <w:rsid w:val="00ED7E69"/>
    <w:rsid w:val="00EE0207"/>
    <w:rsid w:val="00EE0E4B"/>
    <w:rsid w:val="00EE0E66"/>
    <w:rsid w:val="00EE13D4"/>
    <w:rsid w:val="00EE2BAF"/>
    <w:rsid w:val="00EE2BC4"/>
    <w:rsid w:val="00EE3463"/>
    <w:rsid w:val="00EE4F44"/>
    <w:rsid w:val="00EE7071"/>
    <w:rsid w:val="00EE7967"/>
    <w:rsid w:val="00EE7DA9"/>
    <w:rsid w:val="00EF0C5E"/>
    <w:rsid w:val="00EF1753"/>
    <w:rsid w:val="00EF183B"/>
    <w:rsid w:val="00EF1B19"/>
    <w:rsid w:val="00EF1F84"/>
    <w:rsid w:val="00EF2531"/>
    <w:rsid w:val="00EF28C3"/>
    <w:rsid w:val="00EF3433"/>
    <w:rsid w:val="00EF3AAF"/>
    <w:rsid w:val="00EF44DD"/>
    <w:rsid w:val="00EF464C"/>
    <w:rsid w:val="00EF46D5"/>
    <w:rsid w:val="00EF4F2A"/>
    <w:rsid w:val="00EF580E"/>
    <w:rsid w:val="00EF5D06"/>
    <w:rsid w:val="00EF6532"/>
    <w:rsid w:val="00EF65FF"/>
    <w:rsid w:val="00EF6E2A"/>
    <w:rsid w:val="00EF74B2"/>
    <w:rsid w:val="00EF7D09"/>
    <w:rsid w:val="00F010D7"/>
    <w:rsid w:val="00F033C8"/>
    <w:rsid w:val="00F03883"/>
    <w:rsid w:val="00F038E0"/>
    <w:rsid w:val="00F0466D"/>
    <w:rsid w:val="00F049B7"/>
    <w:rsid w:val="00F0660C"/>
    <w:rsid w:val="00F06C33"/>
    <w:rsid w:val="00F0746A"/>
    <w:rsid w:val="00F07BB5"/>
    <w:rsid w:val="00F100EA"/>
    <w:rsid w:val="00F10721"/>
    <w:rsid w:val="00F1077C"/>
    <w:rsid w:val="00F12043"/>
    <w:rsid w:val="00F130AB"/>
    <w:rsid w:val="00F1322F"/>
    <w:rsid w:val="00F13A60"/>
    <w:rsid w:val="00F13B4D"/>
    <w:rsid w:val="00F15AAA"/>
    <w:rsid w:val="00F16BB8"/>
    <w:rsid w:val="00F17436"/>
    <w:rsid w:val="00F20438"/>
    <w:rsid w:val="00F204A2"/>
    <w:rsid w:val="00F21AD2"/>
    <w:rsid w:val="00F23471"/>
    <w:rsid w:val="00F234EB"/>
    <w:rsid w:val="00F23630"/>
    <w:rsid w:val="00F2389D"/>
    <w:rsid w:val="00F23ABC"/>
    <w:rsid w:val="00F24176"/>
    <w:rsid w:val="00F242EA"/>
    <w:rsid w:val="00F2587B"/>
    <w:rsid w:val="00F2595A"/>
    <w:rsid w:val="00F2611F"/>
    <w:rsid w:val="00F2661A"/>
    <w:rsid w:val="00F30816"/>
    <w:rsid w:val="00F311BD"/>
    <w:rsid w:val="00F318B1"/>
    <w:rsid w:val="00F31F4D"/>
    <w:rsid w:val="00F3691B"/>
    <w:rsid w:val="00F36A71"/>
    <w:rsid w:val="00F4063D"/>
    <w:rsid w:val="00F40A1A"/>
    <w:rsid w:val="00F40CF0"/>
    <w:rsid w:val="00F41649"/>
    <w:rsid w:val="00F41AB5"/>
    <w:rsid w:val="00F427C3"/>
    <w:rsid w:val="00F43526"/>
    <w:rsid w:val="00F437FA"/>
    <w:rsid w:val="00F44285"/>
    <w:rsid w:val="00F45E7E"/>
    <w:rsid w:val="00F462B5"/>
    <w:rsid w:val="00F47BE1"/>
    <w:rsid w:val="00F51044"/>
    <w:rsid w:val="00F52500"/>
    <w:rsid w:val="00F52A5D"/>
    <w:rsid w:val="00F532AB"/>
    <w:rsid w:val="00F532C3"/>
    <w:rsid w:val="00F5592E"/>
    <w:rsid w:val="00F56C5B"/>
    <w:rsid w:val="00F56C66"/>
    <w:rsid w:val="00F56FD0"/>
    <w:rsid w:val="00F57815"/>
    <w:rsid w:val="00F60EA6"/>
    <w:rsid w:val="00F613E3"/>
    <w:rsid w:val="00F61F14"/>
    <w:rsid w:val="00F62AC9"/>
    <w:rsid w:val="00F62C5E"/>
    <w:rsid w:val="00F62D51"/>
    <w:rsid w:val="00F6300D"/>
    <w:rsid w:val="00F641DF"/>
    <w:rsid w:val="00F66182"/>
    <w:rsid w:val="00F672B2"/>
    <w:rsid w:val="00F7053C"/>
    <w:rsid w:val="00F714E9"/>
    <w:rsid w:val="00F726DF"/>
    <w:rsid w:val="00F73E18"/>
    <w:rsid w:val="00F74C7B"/>
    <w:rsid w:val="00F77339"/>
    <w:rsid w:val="00F77C2A"/>
    <w:rsid w:val="00F77DB6"/>
    <w:rsid w:val="00F801E9"/>
    <w:rsid w:val="00F80740"/>
    <w:rsid w:val="00F80974"/>
    <w:rsid w:val="00F8303B"/>
    <w:rsid w:val="00F83CDC"/>
    <w:rsid w:val="00F851CB"/>
    <w:rsid w:val="00F86950"/>
    <w:rsid w:val="00F903DB"/>
    <w:rsid w:val="00F90D8E"/>
    <w:rsid w:val="00F91B8C"/>
    <w:rsid w:val="00F9233B"/>
    <w:rsid w:val="00F9252D"/>
    <w:rsid w:val="00F945AB"/>
    <w:rsid w:val="00F94B0E"/>
    <w:rsid w:val="00F9516D"/>
    <w:rsid w:val="00F95577"/>
    <w:rsid w:val="00F95793"/>
    <w:rsid w:val="00F95EE1"/>
    <w:rsid w:val="00F966B4"/>
    <w:rsid w:val="00F967F9"/>
    <w:rsid w:val="00F97210"/>
    <w:rsid w:val="00F97BD8"/>
    <w:rsid w:val="00FA0373"/>
    <w:rsid w:val="00FA0A6C"/>
    <w:rsid w:val="00FA13AE"/>
    <w:rsid w:val="00FA196C"/>
    <w:rsid w:val="00FA4793"/>
    <w:rsid w:val="00FA4F1F"/>
    <w:rsid w:val="00FA57C5"/>
    <w:rsid w:val="00FA5D3D"/>
    <w:rsid w:val="00FA6B1E"/>
    <w:rsid w:val="00FA79E3"/>
    <w:rsid w:val="00FB01A4"/>
    <w:rsid w:val="00FB053D"/>
    <w:rsid w:val="00FB0DB2"/>
    <w:rsid w:val="00FB155A"/>
    <w:rsid w:val="00FB1E7E"/>
    <w:rsid w:val="00FB2051"/>
    <w:rsid w:val="00FB261E"/>
    <w:rsid w:val="00FB30AE"/>
    <w:rsid w:val="00FB35F7"/>
    <w:rsid w:val="00FB375B"/>
    <w:rsid w:val="00FB3B77"/>
    <w:rsid w:val="00FB43D3"/>
    <w:rsid w:val="00FB4956"/>
    <w:rsid w:val="00FB4C6C"/>
    <w:rsid w:val="00FB5AAE"/>
    <w:rsid w:val="00FB6344"/>
    <w:rsid w:val="00FB7F1E"/>
    <w:rsid w:val="00FC19D4"/>
    <w:rsid w:val="00FC1AC8"/>
    <w:rsid w:val="00FC2260"/>
    <w:rsid w:val="00FC4AE0"/>
    <w:rsid w:val="00FC4CCD"/>
    <w:rsid w:val="00FC53B7"/>
    <w:rsid w:val="00FC5980"/>
    <w:rsid w:val="00FC5C06"/>
    <w:rsid w:val="00FC692F"/>
    <w:rsid w:val="00FC7BFF"/>
    <w:rsid w:val="00FD0CB4"/>
    <w:rsid w:val="00FD1561"/>
    <w:rsid w:val="00FD2B80"/>
    <w:rsid w:val="00FD2DC4"/>
    <w:rsid w:val="00FD3337"/>
    <w:rsid w:val="00FD39F1"/>
    <w:rsid w:val="00FD4A37"/>
    <w:rsid w:val="00FD5479"/>
    <w:rsid w:val="00FD66D0"/>
    <w:rsid w:val="00FD6E65"/>
    <w:rsid w:val="00FD730C"/>
    <w:rsid w:val="00FD73D8"/>
    <w:rsid w:val="00FD7DC4"/>
    <w:rsid w:val="00FE10C0"/>
    <w:rsid w:val="00FE17A0"/>
    <w:rsid w:val="00FE2CC6"/>
    <w:rsid w:val="00FE2E0B"/>
    <w:rsid w:val="00FE4214"/>
    <w:rsid w:val="00FE49C6"/>
    <w:rsid w:val="00FE57A1"/>
    <w:rsid w:val="00FE57C4"/>
    <w:rsid w:val="00FE5FD7"/>
    <w:rsid w:val="00FE76ED"/>
    <w:rsid w:val="00FE7CD3"/>
    <w:rsid w:val="00FF0D3D"/>
    <w:rsid w:val="00FF126D"/>
    <w:rsid w:val="00FF1813"/>
    <w:rsid w:val="00FF331C"/>
    <w:rsid w:val="00FF3AE4"/>
    <w:rsid w:val="00FF42D7"/>
    <w:rsid w:val="00FF60AB"/>
    <w:rsid w:val="00FF6686"/>
    <w:rsid w:val="00FF6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5B7CCD"/>
  <w15:docId w15:val="{F42EB212-7671-4D97-B8DB-E1C1BC5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750A"/>
    <w:pPr>
      <w:overflowPunct w:val="0"/>
      <w:autoSpaceDE w:val="0"/>
      <w:autoSpaceDN w:val="0"/>
      <w:adjustRightInd w:val="0"/>
      <w:jc w:val="both"/>
      <w:textAlignment w:val="baseline"/>
    </w:pPr>
    <w:rPr>
      <w:rFonts w:ascii="Verdana" w:hAnsi="Verdana" w:cs="Arial"/>
      <w:lang w:eastAsia="en-US"/>
    </w:rPr>
  </w:style>
  <w:style w:type="paragraph" w:styleId="Heading1">
    <w:name w:val="heading 1"/>
    <w:basedOn w:val="Normal"/>
    <w:next w:val="Normal"/>
    <w:qFormat/>
    <w:rsid w:val="00E939B8"/>
    <w:pPr>
      <w:keepNext/>
      <w:spacing w:before="240" w:after="60"/>
      <w:outlineLvl w:val="0"/>
    </w:pPr>
    <w:rPr>
      <w:b/>
      <w:bCs/>
      <w:kern w:val="32"/>
      <w:sz w:val="32"/>
      <w:szCs w:val="32"/>
    </w:rPr>
  </w:style>
  <w:style w:type="paragraph" w:styleId="Heading2">
    <w:name w:val="heading 2"/>
    <w:basedOn w:val="Normal"/>
    <w:next w:val="Normal"/>
    <w:qFormat/>
    <w:rsid w:val="00E939B8"/>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939B8"/>
    <w:pPr>
      <w:spacing w:before="240" w:after="60"/>
      <w:outlineLvl w:val="4"/>
    </w:pPr>
    <w:rPr>
      <w:b/>
      <w:bCs/>
      <w:i/>
      <w:iCs/>
      <w:sz w:val="26"/>
      <w:szCs w:val="26"/>
    </w:rPr>
  </w:style>
  <w:style w:type="paragraph" w:styleId="Heading6">
    <w:name w:val="heading 6"/>
    <w:basedOn w:val="Normal"/>
    <w:next w:val="Normal"/>
    <w:qFormat/>
    <w:rsid w:val="00E939B8"/>
    <w:pPr>
      <w:spacing w:before="240" w:after="60"/>
      <w:outlineLvl w:val="5"/>
    </w:pPr>
    <w:rPr>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rsid w:val="00C60E2B"/>
    <w:pPr>
      <w:spacing w:before="240" w:after="60"/>
      <w:outlineLvl w:val="7"/>
    </w:pPr>
    <w:rPr>
      <w:i/>
      <w:iCs/>
      <w:sz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D60"/>
    <w:pPr>
      <w:tabs>
        <w:tab w:val="center" w:pos="4153"/>
        <w:tab w:val="right" w:pos="8306"/>
      </w:tabs>
    </w:pPr>
  </w:style>
  <w:style w:type="paragraph" w:styleId="Footer">
    <w:name w:val="footer"/>
    <w:basedOn w:val="Normal"/>
    <w:link w:val="FooterChar"/>
    <w:uiPriority w:val="99"/>
    <w:rsid w:val="009A7D60"/>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rsid w:val="001D58B5"/>
    <w:pPr>
      <w:spacing w:after="120"/>
    </w:pPr>
  </w:style>
  <w:style w:type="paragraph" w:styleId="BodyText2">
    <w:name w:val="Body Text 2"/>
    <w:basedOn w:val="Normal"/>
    <w:rsid w:val="00E939B8"/>
    <w:pPr>
      <w:spacing w:after="120" w:line="480" w:lineRule="auto"/>
    </w:pPr>
  </w:style>
  <w:style w:type="paragraph" w:styleId="BodyText3">
    <w:name w:val="Body Text 3"/>
    <w:basedOn w:val="Normal"/>
    <w:rsid w:val="00E939B8"/>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rsid w:val="00E939B8"/>
    <w:pPr>
      <w:spacing w:after="120"/>
      <w:ind w:left="283"/>
    </w:pPr>
  </w:style>
  <w:style w:type="paragraph" w:styleId="BodyTextFirstIndent2">
    <w:name w:val="Body Text First Indent 2"/>
    <w:basedOn w:val="BodyTextIndent"/>
    <w:rsid w:val="00E939B8"/>
    <w:pPr>
      <w:ind w:firstLine="210"/>
    </w:pPr>
  </w:style>
  <w:style w:type="paragraph" w:styleId="BodyTextIndent2">
    <w:name w:val="Body Text Indent 2"/>
    <w:basedOn w:val="Normal"/>
    <w:rsid w:val="00E939B8"/>
    <w:pPr>
      <w:spacing w:after="120" w:line="480" w:lineRule="auto"/>
      <w:ind w:left="283"/>
    </w:pPr>
  </w:style>
  <w:style w:type="paragraph" w:styleId="BodyTextIndent3">
    <w:name w:val="Body Text Indent 3"/>
    <w:basedOn w:val="Normal"/>
    <w:rsid w:val="00E939B8"/>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rsid w:val="00E939B8"/>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link w:val="FootnoteTextChar"/>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rPr>
      <w:rFonts w:ascii="Times" w:hAnsi="Times"/>
    </w:rPr>
  </w:style>
  <w:style w:type="character" w:styleId="PageNumber">
    <w:name w:val="page number"/>
    <w:basedOn w:val="DefaultParagraphFont"/>
  </w:style>
  <w:style w:type="character" w:styleId="LineNumber">
    <w:name w:val="line number"/>
    <w:basedOn w:val="DefaultParagraphFont"/>
    <w:rsid w:val="002B3F05"/>
  </w:style>
  <w:style w:type="paragraph" w:customStyle="1" w:styleId="StyleHeading210ptNotBoldNotItalic">
    <w:name w:val="Style Heading 2 + 10 pt Not Bold Not Italic"/>
    <w:basedOn w:val="Heading2"/>
    <w:rsid w:val="00C60E2B"/>
    <w:rPr>
      <w:b w:val="0"/>
      <w:bCs w:val="0"/>
      <w:i w:val="0"/>
      <w:iCs w:val="0"/>
      <w:sz w:val="20"/>
    </w:rPr>
  </w:style>
  <w:style w:type="character" w:styleId="Strong">
    <w:name w:val="Strong"/>
    <w:qFormat/>
    <w:rsid w:val="00CA6ED6"/>
    <w:rPr>
      <w:b/>
      <w:bCs/>
    </w:rPr>
  </w:style>
  <w:style w:type="character" w:styleId="Hyperlink">
    <w:name w:val="Hyperlink"/>
    <w:rsid w:val="00836BA1"/>
    <w:rPr>
      <w:color w:val="0000FF"/>
      <w:u w:val="single"/>
    </w:rPr>
  </w:style>
  <w:style w:type="paragraph" w:styleId="BalloonText">
    <w:name w:val="Balloon Text"/>
    <w:basedOn w:val="Normal"/>
    <w:semiHidden/>
    <w:rsid w:val="00597C57"/>
    <w:rPr>
      <w:rFonts w:ascii="Tahoma" w:hAnsi="Tahoma" w:cs="Tahoma"/>
      <w:sz w:val="16"/>
      <w:szCs w:val="16"/>
    </w:rPr>
  </w:style>
  <w:style w:type="character" w:styleId="Emphasis">
    <w:name w:val="Emphasis"/>
    <w:uiPriority w:val="20"/>
    <w:qFormat/>
    <w:rsid w:val="00226D46"/>
    <w:rPr>
      <w:i/>
      <w:iCs/>
    </w:rPr>
  </w:style>
  <w:style w:type="paragraph" w:customStyle="1" w:styleId="Default">
    <w:name w:val="Default"/>
    <w:rsid w:val="003B7ED2"/>
    <w:pPr>
      <w:autoSpaceDE w:val="0"/>
      <w:autoSpaceDN w:val="0"/>
      <w:adjustRightInd w:val="0"/>
    </w:pPr>
    <w:rPr>
      <w:rFonts w:ascii="FS Lola Medium" w:hAnsi="FS Lola Medium" w:cs="FS Lola Medium"/>
      <w:color w:val="000000"/>
      <w:sz w:val="24"/>
      <w:szCs w:val="24"/>
      <w:lang w:val="en-US" w:eastAsia="en-US"/>
    </w:rPr>
  </w:style>
  <w:style w:type="character" w:styleId="FollowedHyperlink">
    <w:name w:val="FollowedHyperlink"/>
    <w:rsid w:val="009673DC"/>
    <w:rPr>
      <w:color w:val="800080"/>
      <w:u w:val="single"/>
    </w:rPr>
  </w:style>
  <w:style w:type="paragraph" w:styleId="ListParagraph">
    <w:name w:val="List Paragraph"/>
    <w:basedOn w:val="Normal"/>
    <w:uiPriority w:val="34"/>
    <w:qFormat/>
    <w:rsid w:val="002E5311"/>
    <w:pPr>
      <w:ind w:left="720"/>
    </w:pPr>
  </w:style>
  <w:style w:type="character" w:styleId="CommentReference">
    <w:name w:val="annotation reference"/>
    <w:basedOn w:val="DefaultParagraphFont"/>
    <w:rsid w:val="00776446"/>
    <w:rPr>
      <w:sz w:val="16"/>
      <w:szCs w:val="16"/>
    </w:rPr>
  </w:style>
  <w:style w:type="paragraph" w:styleId="CommentSubject">
    <w:name w:val="annotation subject"/>
    <w:basedOn w:val="CommentText"/>
    <w:next w:val="CommentText"/>
    <w:link w:val="CommentSubjectChar"/>
    <w:rsid w:val="00776446"/>
    <w:rPr>
      <w:b/>
      <w:bCs/>
    </w:rPr>
  </w:style>
  <w:style w:type="character" w:customStyle="1" w:styleId="CommentTextChar">
    <w:name w:val="Comment Text Char"/>
    <w:basedOn w:val="DefaultParagraphFont"/>
    <w:link w:val="CommentText"/>
    <w:semiHidden/>
    <w:rsid w:val="00776446"/>
    <w:rPr>
      <w:rFonts w:ascii="Verdana" w:hAnsi="Verdana" w:cs="Arial"/>
      <w:lang w:eastAsia="en-US"/>
    </w:rPr>
  </w:style>
  <w:style w:type="character" w:customStyle="1" w:styleId="CommentSubjectChar">
    <w:name w:val="Comment Subject Char"/>
    <w:basedOn w:val="CommentTextChar"/>
    <w:link w:val="CommentSubject"/>
    <w:rsid w:val="00776446"/>
    <w:rPr>
      <w:rFonts w:ascii="Verdana" w:hAnsi="Verdana" w:cs="Arial"/>
      <w:b/>
      <w:bCs/>
      <w:lang w:eastAsia="en-US"/>
    </w:rPr>
  </w:style>
  <w:style w:type="table" w:styleId="TableGrid">
    <w:name w:val="Table Grid"/>
    <w:basedOn w:val="TableNormal"/>
    <w:rsid w:val="0041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91E"/>
    <w:rPr>
      <w:rFonts w:ascii="Verdana" w:hAnsi="Verdana" w:cs="Arial"/>
      <w:lang w:eastAsia="en-US"/>
    </w:rPr>
  </w:style>
  <w:style w:type="character" w:customStyle="1" w:styleId="FooterChar">
    <w:name w:val="Footer Char"/>
    <w:basedOn w:val="DefaultParagraphFont"/>
    <w:link w:val="Footer"/>
    <w:uiPriority w:val="99"/>
    <w:rsid w:val="002D6F81"/>
    <w:rPr>
      <w:rFonts w:ascii="Verdana" w:hAnsi="Verdana" w:cs="Arial"/>
      <w:lang w:eastAsia="en-US"/>
    </w:rPr>
  </w:style>
  <w:style w:type="paragraph" w:customStyle="1" w:styleId="BodyText-NumberedparaMainBody">
    <w:name w:val="Body Text - Numbered para (Main Body)"/>
    <w:basedOn w:val="Normal"/>
    <w:uiPriority w:val="99"/>
    <w:rsid w:val="002167F6"/>
    <w:pPr>
      <w:widowControl w:val="0"/>
      <w:suppressAutoHyphens/>
      <w:overflowPunct/>
      <w:spacing w:after="113" w:line="300" w:lineRule="atLeast"/>
      <w:ind w:left="624" w:hanging="624"/>
      <w:jc w:val="left"/>
      <w:textAlignment w:val="center"/>
    </w:pPr>
    <w:rPr>
      <w:rFonts w:ascii="Arial" w:eastAsiaTheme="minorEastAsia" w:hAnsi="Arial"/>
      <w:color w:val="000000"/>
      <w:sz w:val="22"/>
      <w:szCs w:val="22"/>
      <w:lang w:eastAsia="en-GB"/>
    </w:rPr>
  </w:style>
  <w:style w:type="paragraph" w:customStyle="1" w:styleId="BulletMainBody">
    <w:name w:val="Bullet (Main Body)"/>
    <w:basedOn w:val="BodyText-NumberedparaMainBody"/>
    <w:uiPriority w:val="99"/>
    <w:rsid w:val="002167F6"/>
    <w:pPr>
      <w:ind w:left="1134" w:hanging="340"/>
    </w:pPr>
  </w:style>
  <w:style w:type="paragraph" w:customStyle="1" w:styleId="Pa1">
    <w:name w:val="Pa1"/>
    <w:basedOn w:val="Default"/>
    <w:next w:val="Default"/>
    <w:uiPriority w:val="99"/>
    <w:rsid w:val="009C23E3"/>
    <w:pPr>
      <w:spacing w:line="241" w:lineRule="atLeast"/>
    </w:pPr>
    <w:rPr>
      <w:rFonts w:ascii="Arial" w:hAnsi="Arial" w:cs="Arial"/>
      <w:color w:val="auto"/>
      <w:lang w:val="en-GB" w:eastAsia="en-GB"/>
    </w:rPr>
  </w:style>
  <w:style w:type="character" w:customStyle="1" w:styleId="A0">
    <w:name w:val="A0"/>
    <w:uiPriority w:val="99"/>
    <w:rsid w:val="009C23E3"/>
    <w:rPr>
      <w:b/>
      <w:bCs/>
      <w:color w:val="000000"/>
      <w:sz w:val="44"/>
      <w:szCs w:val="44"/>
    </w:rPr>
  </w:style>
  <w:style w:type="table" w:customStyle="1" w:styleId="TableGrid1">
    <w:name w:val="Table Grid1"/>
    <w:basedOn w:val="TableNormal"/>
    <w:next w:val="TableGrid"/>
    <w:rsid w:val="009D6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43ABE"/>
    <w:rPr>
      <w:b/>
      <w:bCs/>
      <w:i/>
      <w:iCs/>
      <w:spacing w:val="5"/>
    </w:rPr>
  </w:style>
  <w:style w:type="character" w:styleId="FootnoteReference">
    <w:name w:val="footnote reference"/>
    <w:basedOn w:val="DefaultParagraphFont"/>
    <w:rsid w:val="00FF0D3D"/>
    <w:rPr>
      <w:vertAlign w:val="superscript"/>
    </w:rPr>
  </w:style>
  <w:style w:type="character" w:customStyle="1" w:styleId="FootnoteTextChar">
    <w:name w:val="Footnote Text Char"/>
    <w:basedOn w:val="DefaultParagraphFont"/>
    <w:link w:val="FootnoteText"/>
    <w:semiHidden/>
    <w:rsid w:val="00FF0D3D"/>
    <w:rPr>
      <w:rFonts w:ascii="Verdana"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0216">
      <w:bodyDiv w:val="1"/>
      <w:marLeft w:val="0"/>
      <w:marRight w:val="0"/>
      <w:marTop w:val="0"/>
      <w:marBottom w:val="0"/>
      <w:divBdr>
        <w:top w:val="none" w:sz="0" w:space="0" w:color="auto"/>
        <w:left w:val="none" w:sz="0" w:space="0" w:color="auto"/>
        <w:bottom w:val="none" w:sz="0" w:space="0" w:color="auto"/>
        <w:right w:val="none" w:sz="0" w:space="0" w:color="auto"/>
      </w:divBdr>
    </w:div>
    <w:div w:id="145052954">
      <w:bodyDiv w:val="1"/>
      <w:marLeft w:val="0"/>
      <w:marRight w:val="0"/>
      <w:marTop w:val="0"/>
      <w:marBottom w:val="0"/>
      <w:divBdr>
        <w:top w:val="none" w:sz="0" w:space="0" w:color="auto"/>
        <w:left w:val="none" w:sz="0" w:space="0" w:color="auto"/>
        <w:bottom w:val="none" w:sz="0" w:space="0" w:color="auto"/>
        <w:right w:val="none" w:sz="0" w:space="0" w:color="auto"/>
      </w:divBdr>
    </w:div>
    <w:div w:id="164516981">
      <w:bodyDiv w:val="1"/>
      <w:marLeft w:val="0"/>
      <w:marRight w:val="0"/>
      <w:marTop w:val="0"/>
      <w:marBottom w:val="0"/>
      <w:divBdr>
        <w:top w:val="none" w:sz="0" w:space="0" w:color="auto"/>
        <w:left w:val="none" w:sz="0" w:space="0" w:color="auto"/>
        <w:bottom w:val="none" w:sz="0" w:space="0" w:color="auto"/>
        <w:right w:val="none" w:sz="0" w:space="0" w:color="auto"/>
      </w:divBdr>
    </w:div>
    <w:div w:id="239028171">
      <w:bodyDiv w:val="1"/>
      <w:marLeft w:val="0"/>
      <w:marRight w:val="0"/>
      <w:marTop w:val="0"/>
      <w:marBottom w:val="0"/>
      <w:divBdr>
        <w:top w:val="none" w:sz="0" w:space="0" w:color="auto"/>
        <w:left w:val="none" w:sz="0" w:space="0" w:color="auto"/>
        <w:bottom w:val="none" w:sz="0" w:space="0" w:color="auto"/>
        <w:right w:val="none" w:sz="0" w:space="0" w:color="auto"/>
      </w:divBdr>
    </w:div>
    <w:div w:id="248007100">
      <w:bodyDiv w:val="1"/>
      <w:marLeft w:val="0"/>
      <w:marRight w:val="0"/>
      <w:marTop w:val="0"/>
      <w:marBottom w:val="0"/>
      <w:divBdr>
        <w:top w:val="none" w:sz="0" w:space="0" w:color="auto"/>
        <w:left w:val="none" w:sz="0" w:space="0" w:color="auto"/>
        <w:bottom w:val="none" w:sz="0" w:space="0" w:color="auto"/>
        <w:right w:val="none" w:sz="0" w:space="0" w:color="auto"/>
      </w:divBdr>
      <w:divsChild>
        <w:div w:id="1366248200">
          <w:marLeft w:val="0"/>
          <w:marRight w:val="0"/>
          <w:marTop w:val="0"/>
          <w:marBottom w:val="0"/>
          <w:divBdr>
            <w:top w:val="none" w:sz="0" w:space="0" w:color="auto"/>
            <w:left w:val="none" w:sz="0" w:space="0" w:color="auto"/>
            <w:bottom w:val="none" w:sz="0" w:space="0" w:color="auto"/>
            <w:right w:val="none" w:sz="0" w:space="0" w:color="auto"/>
          </w:divBdr>
        </w:div>
      </w:divsChild>
    </w:div>
    <w:div w:id="251593254">
      <w:bodyDiv w:val="1"/>
      <w:marLeft w:val="0"/>
      <w:marRight w:val="0"/>
      <w:marTop w:val="0"/>
      <w:marBottom w:val="0"/>
      <w:divBdr>
        <w:top w:val="none" w:sz="0" w:space="0" w:color="auto"/>
        <w:left w:val="none" w:sz="0" w:space="0" w:color="auto"/>
        <w:bottom w:val="none" w:sz="0" w:space="0" w:color="auto"/>
        <w:right w:val="none" w:sz="0" w:space="0" w:color="auto"/>
      </w:divBdr>
    </w:div>
    <w:div w:id="292490769">
      <w:bodyDiv w:val="1"/>
      <w:marLeft w:val="0"/>
      <w:marRight w:val="0"/>
      <w:marTop w:val="0"/>
      <w:marBottom w:val="0"/>
      <w:divBdr>
        <w:top w:val="none" w:sz="0" w:space="0" w:color="auto"/>
        <w:left w:val="none" w:sz="0" w:space="0" w:color="auto"/>
        <w:bottom w:val="none" w:sz="0" w:space="0" w:color="auto"/>
        <w:right w:val="none" w:sz="0" w:space="0" w:color="auto"/>
      </w:divBdr>
    </w:div>
    <w:div w:id="337779756">
      <w:bodyDiv w:val="1"/>
      <w:marLeft w:val="0"/>
      <w:marRight w:val="0"/>
      <w:marTop w:val="0"/>
      <w:marBottom w:val="0"/>
      <w:divBdr>
        <w:top w:val="none" w:sz="0" w:space="0" w:color="auto"/>
        <w:left w:val="none" w:sz="0" w:space="0" w:color="auto"/>
        <w:bottom w:val="none" w:sz="0" w:space="0" w:color="auto"/>
        <w:right w:val="none" w:sz="0" w:space="0" w:color="auto"/>
      </w:divBdr>
      <w:divsChild>
        <w:div w:id="700320873">
          <w:marLeft w:val="0"/>
          <w:marRight w:val="0"/>
          <w:marTop w:val="0"/>
          <w:marBottom w:val="0"/>
          <w:divBdr>
            <w:top w:val="none" w:sz="0" w:space="0" w:color="auto"/>
            <w:left w:val="none" w:sz="0" w:space="0" w:color="auto"/>
            <w:bottom w:val="none" w:sz="0" w:space="0" w:color="auto"/>
            <w:right w:val="none" w:sz="0" w:space="0" w:color="auto"/>
          </w:divBdr>
          <w:divsChild>
            <w:div w:id="1188829127">
              <w:marLeft w:val="0"/>
              <w:marRight w:val="0"/>
              <w:marTop w:val="0"/>
              <w:marBottom w:val="0"/>
              <w:divBdr>
                <w:top w:val="none" w:sz="0" w:space="0" w:color="auto"/>
                <w:left w:val="none" w:sz="0" w:space="0" w:color="auto"/>
                <w:bottom w:val="none" w:sz="0" w:space="0" w:color="auto"/>
                <w:right w:val="none" w:sz="0" w:space="0" w:color="auto"/>
              </w:divBdr>
              <w:divsChild>
                <w:div w:id="1220165288">
                  <w:marLeft w:val="0"/>
                  <w:marRight w:val="0"/>
                  <w:marTop w:val="0"/>
                  <w:marBottom w:val="0"/>
                  <w:divBdr>
                    <w:top w:val="none" w:sz="0" w:space="0" w:color="auto"/>
                    <w:left w:val="none" w:sz="0" w:space="0" w:color="auto"/>
                    <w:bottom w:val="none" w:sz="0" w:space="0" w:color="auto"/>
                    <w:right w:val="none" w:sz="0" w:space="0" w:color="auto"/>
                  </w:divBdr>
                  <w:divsChild>
                    <w:div w:id="1823158067">
                      <w:marLeft w:val="90"/>
                      <w:marRight w:val="0"/>
                      <w:marTop w:val="0"/>
                      <w:marBottom w:val="0"/>
                      <w:divBdr>
                        <w:top w:val="none" w:sz="0" w:space="0" w:color="auto"/>
                        <w:left w:val="none" w:sz="0" w:space="0" w:color="auto"/>
                        <w:bottom w:val="none" w:sz="0" w:space="0" w:color="auto"/>
                        <w:right w:val="none" w:sz="0" w:space="0" w:color="auto"/>
                      </w:divBdr>
                      <w:divsChild>
                        <w:div w:id="1589459915">
                          <w:marLeft w:val="0"/>
                          <w:marRight w:val="0"/>
                          <w:marTop w:val="0"/>
                          <w:marBottom w:val="0"/>
                          <w:divBdr>
                            <w:top w:val="none" w:sz="0" w:space="0" w:color="auto"/>
                            <w:left w:val="none" w:sz="0" w:space="0" w:color="auto"/>
                            <w:bottom w:val="none" w:sz="0" w:space="0" w:color="auto"/>
                            <w:right w:val="none" w:sz="0" w:space="0" w:color="auto"/>
                          </w:divBdr>
                          <w:divsChild>
                            <w:div w:id="1022513137">
                              <w:marLeft w:val="0"/>
                              <w:marRight w:val="0"/>
                              <w:marTop w:val="0"/>
                              <w:marBottom w:val="0"/>
                              <w:divBdr>
                                <w:top w:val="none" w:sz="0" w:space="0" w:color="auto"/>
                                <w:left w:val="none" w:sz="0" w:space="0" w:color="auto"/>
                                <w:bottom w:val="none" w:sz="0" w:space="0" w:color="auto"/>
                                <w:right w:val="none" w:sz="0" w:space="0" w:color="auto"/>
                              </w:divBdr>
                              <w:divsChild>
                                <w:div w:id="166396812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8060">
      <w:bodyDiv w:val="1"/>
      <w:marLeft w:val="0"/>
      <w:marRight w:val="0"/>
      <w:marTop w:val="0"/>
      <w:marBottom w:val="0"/>
      <w:divBdr>
        <w:top w:val="none" w:sz="0" w:space="0" w:color="auto"/>
        <w:left w:val="none" w:sz="0" w:space="0" w:color="auto"/>
        <w:bottom w:val="none" w:sz="0" w:space="0" w:color="auto"/>
        <w:right w:val="none" w:sz="0" w:space="0" w:color="auto"/>
      </w:divBdr>
      <w:divsChild>
        <w:div w:id="899630933">
          <w:marLeft w:val="0"/>
          <w:marRight w:val="0"/>
          <w:marTop w:val="0"/>
          <w:marBottom w:val="0"/>
          <w:divBdr>
            <w:top w:val="none" w:sz="0" w:space="0" w:color="auto"/>
            <w:left w:val="none" w:sz="0" w:space="0" w:color="auto"/>
            <w:bottom w:val="none" w:sz="0" w:space="0" w:color="auto"/>
            <w:right w:val="none" w:sz="0" w:space="0" w:color="auto"/>
          </w:divBdr>
          <w:divsChild>
            <w:div w:id="1807435409">
              <w:marLeft w:val="0"/>
              <w:marRight w:val="0"/>
              <w:marTop w:val="0"/>
              <w:marBottom w:val="0"/>
              <w:divBdr>
                <w:top w:val="none" w:sz="0" w:space="0" w:color="auto"/>
                <w:left w:val="none" w:sz="0" w:space="0" w:color="auto"/>
                <w:bottom w:val="none" w:sz="0" w:space="0" w:color="auto"/>
                <w:right w:val="none" w:sz="0" w:space="0" w:color="auto"/>
              </w:divBdr>
              <w:divsChild>
                <w:div w:id="875191425">
                  <w:marLeft w:val="0"/>
                  <w:marRight w:val="0"/>
                  <w:marTop w:val="0"/>
                  <w:marBottom w:val="0"/>
                  <w:divBdr>
                    <w:top w:val="none" w:sz="0" w:space="0" w:color="auto"/>
                    <w:left w:val="none" w:sz="0" w:space="0" w:color="auto"/>
                    <w:bottom w:val="none" w:sz="0" w:space="0" w:color="auto"/>
                    <w:right w:val="none" w:sz="0" w:space="0" w:color="auto"/>
                  </w:divBdr>
                  <w:divsChild>
                    <w:div w:id="2114667015">
                      <w:marLeft w:val="0"/>
                      <w:marRight w:val="0"/>
                      <w:marTop w:val="0"/>
                      <w:marBottom w:val="0"/>
                      <w:divBdr>
                        <w:top w:val="none" w:sz="0" w:space="0" w:color="auto"/>
                        <w:left w:val="none" w:sz="0" w:space="0" w:color="auto"/>
                        <w:bottom w:val="none" w:sz="0" w:space="0" w:color="auto"/>
                        <w:right w:val="none" w:sz="0" w:space="0" w:color="auto"/>
                      </w:divBdr>
                      <w:divsChild>
                        <w:div w:id="1334802070">
                          <w:marLeft w:val="0"/>
                          <w:marRight w:val="0"/>
                          <w:marTop w:val="0"/>
                          <w:marBottom w:val="0"/>
                          <w:divBdr>
                            <w:top w:val="none" w:sz="0" w:space="0" w:color="auto"/>
                            <w:left w:val="none" w:sz="0" w:space="0" w:color="auto"/>
                            <w:bottom w:val="none" w:sz="0" w:space="0" w:color="auto"/>
                            <w:right w:val="none" w:sz="0" w:space="0" w:color="auto"/>
                          </w:divBdr>
                          <w:divsChild>
                            <w:div w:id="1681464214">
                              <w:marLeft w:val="0"/>
                              <w:marRight w:val="0"/>
                              <w:marTop w:val="0"/>
                              <w:marBottom w:val="0"/>
                              <w:divBdr>
                                <w:top w:val="none" w:sz="0" w:space="0" w:color="auto"/>
                                <w:left w:val="none" w:sz="0" w:space="0" w:color="auto"/>
                                <w:bottom w:val="none" w:sz="0" w:space="0" w:color="auto"/>
                                <w:right w:val="none" w:sz="0" w:space="0" w:color="auto"/>
                              </w:divBdr>
                              <w:divsChild>
                                <w:div w:id="68616968">
                                  <w:marLeft w:val="0"/>
                                  <w:marRight w:val="0"/>
                                  <w:marTop w:val="0"/>
                                  <w:marBottom w:val="0"/>
                                  <w:divBdr>
                                    <w:top w:val="none" w:sz="0" w:space="0" w:color="auto"/>
                                    <w:left w:val="none" w:sz="0" w:space="0" w:color="auto"/>
                                    <w:bottom w:val="none" w:sz="0" w:space="0" w:color="auto"/>
                                    <w:right w:val="none" w:sz="0" w:space="0" w:color="auto"/>
                                  </w:divBdr>
                                  <w:divsChild>
                                    <w:div w:id="995646093">
                                      <w:marLeft w:val="0"/>
                                      <w:marRight w:val="0"/>
                                      <w:marTop w:val="0"/>
                                      <w:marBottom w:val="0"/>
                                      <w:divBdr>
                                        <w:top w:val="none" w:sz="0" w:space="0" w:color="auto"/>
                                        <w:left w:val="none" w:sz="0" w:space="0" w:color="auto"/>
                                        <w:bottom w:val="none" w:sz="0" w:space="0" w:color="auto"/>
                                        <w:right w:val="none" w:sz="0" w:space="0" w:color="auto"/>
                                      </w:divBdr>
                                      <w:divsChild>
                                        <w:div w:id="60062406">
                                          <w:marLeft w:val="0"/>
                                          <w:marRight w:val="0"/>
                                          <w:marTop w:val="0"/>
                                          <w:marBottom w:val="0"/>
                                          <w:divBdr>
                                            <w:top w:val="none" w:sz="0" w:space="0" w:color="auto"/>
                                            <w:left w:val="none" w:sz="0" w:space="0" w:color="auto"/>
                                            <w:bottom w:val="none" w:sz="0" w:space="0" w:color="auto"/>
                                            <w:right w:val="none" w:sz="0" w:space="0" w:color="auto"/>
                                          </w:divBdr>
                                          <w:divsChild>
                                            <w:div w:id="1546136953">
                                              <w:marLeft w:val="0"/>
                                              <w:marRight w:val="0"/>
                                              <w:marTop w:val="0"/>
                                              <w:marBottom w:val="0"/>
                                              <w:divBdr>
                                                <w:top w:val="none" w:sz="0" w:space="0" w:color="auto"/>
                                                <w:left w:val="none" w:sz="0" w:space="0" w:color="auto"/>
                                                <w:bottom w:val="none" w:sz="0" w:space="0" w:color="auto"/>
                                                <w:right w:val="none" w:sz="0" w:space="0" w:color="auto"/>
                                              </w:divBdr>
                                              <w:divsChild>
                                                <w:div w:id="1728525521">
                                                  <w:marLeft w:val="0"/>
                                                  <w:marRight w:val="0"/>
                                                  <w:marTop w:val="0"/>
                                                  <w:marBottom w:val="0"/>
                                                  <w:divBdr>
                                                    <w:top w:val="none" w:sz="0" w:space="0" w:color="auto"/>
                                                    <w:left w:val="none" w:sz="0" w:space="0" w:color="auto"/>
                                                    <w:bottom w:val="none" w:sz="0" w:space="0" w:color="auto"/>
                                                    <w:right w:val="none" w:sz="0" w:space="0" w:color="auto"/>
                                                  </w:divBdr>
                                                  <w:divsChild>
                                                    <w:div w:id="1104036674">
                                                      <w:marLeft w:val="0"/>
                                                      <w:marRight w:val="0"/>
                                                      <w:marTop w:val="0"/>
                                                      <w:marBottom w:val="0"/>
                                                      <w:divBdr>
                                                        <w:top w:val="none" w:sz="0" w:space="0" w:color="auto"/>
                                                        <w:left w:val="none" w:sz="0" w:space="0" w:color="auto"/>
                                                        <w:bottom w:val="none" w:sz="0" w:space="0" w:color="auto"/>
                                                        <w:right w:val="none" w:sz="0" w:space="0" w:color="auto"/>
                                                      </w:divBdr>
                                                      <w:divsChild>
                                                        <w:div w:id="1369843072">
                                                          <w:marLeft w:val="0"/>
                                                          <w:marRight w:val="0"/>
                                                          <w:marTop w:val="0"/>
                                                          <w:marBottom w:val="0"/>
                                                          <w:divBdr>
                                                            <w:top w:val="none" w:sz="0" w:space="0" w:color="auto"/>
                                                            <w:left w:val="none" w:sz="0" w:space="0" w:color="auto"/>
                                                            <w:bottom w:val="none" w:sz="0" w:space="0" w:color="auto"/>
                                                            <w:right w:val="none" w:sz="0" w:space="0" w:color="auto"/>
                                                          </w:divBdr>
                                                          <w:divsChild>
                                                            <w:div w:id="1107043279">
                                                              <w:marLeft w:val="0"/>
                                                              <w:marRight w:val="150"/>
                                                              <w:marTop w:val="0"/>
                                                              <w:marBottom w:val="150"/>
                                                              <w:divBdr>
                                                                <w:top w:val="none" w:sz="0" w:space="0" w:color="auto"/>
                                                                <w:left w:val="none" w:sz="0" w:space="0" w:color="auto"/>
                                                                <w:bottom w:val="none" w:sz="0" w:space="0" w:color="auto"/>
                                                                <w:right w:val="none" w:sz="0" w:space="0" w:color="auto"/>
                                                              </w:divBdr>
                                                              <w:divsChild>
                                                                <w:div w:id="150485882">
                                                                  <w:marLeft w:val="0"/>
                                                                  <w:marRight w:val="0"/>
                                                                  <w:marTop w:val="0"/>
                                                                  <w:marBottom w:val="0"/>
                                                                  <w:divBdr>
                                                                    <w:top w:val="none" w:sz="0" w:space="0" w:color="auto"/>
                                                                    <w:left w:val="none" w:sz="0" w:space="0" w:color="auto"/>
                                                                    <w:bottom w:val="none" w:sz="0" w:space="0" w:color="auto"/>
                                                                    <w:right w:val="none" w:sz="0" w:space="0" w:color="auto"/>
                                                                  </w:divBdr>
                                                                  <w:divsChild>
                                                                    <w:div w:id="200095741">
                                                                      <w:marLeft w:val="0"/>
                                                                      <w:marRight w:val="0"/>
                                                                      <w:marTop w:val="0"/>
                                                                      <w:marBottom w:val="0"/>
                                                                      <w:divBdr>
                                                                        <w:top w:val="none" w:sz="0" w:space="0" w:color="auto"/>
                                                                        <w:left w:val="none" w:sz="0" w:space="0" w:color="auto"/>
                                                                        <w:bottom w:val="none" w:sz="0" w:space="0" w:color="auto"/>
                                                                        <w:right w:val="none" w:sz="0" w:space="0" w:color="auto"/>
                                                                      </w:divBdr>
                                                                      <w:divsChild>
                                                                        <w:div w:id="2133134083">
                                                                          <w:marLeft w:val="0"/>
                                                                          <w:marRight w:val="0"/>
                                                                          <w:marTop w:val="0"/>
                                                                          <w:marBottom w:val="0"/>
                                                                          <w:divBdr>
                                                                            <w:top w:val="none" w:sz="0" w:space="0" w:color="auto"/>
                                                                            <w:left w:val="none" w:sz="0" w:space="0" w:color="auto"/>
                                                                            <w:bottom w:val="none" w:sz="0" w:space="0" w:color="auto"/>
                                                                            <w:right w:val="none" w:sz="0" w:space="0" w:color="auto"/>
                                                                          </w:divBdr>
                                                                          <w:divsChild>
                                                                            <w:div w:id="1283655770">
                                                                              <w:marLeft w:val="0"/>
                                                                              <w:marRight w:val="0"/>
                                                                              <w:marTop w:val="0"/>
                                                                              <w:marBottom w:val="0"/>
                                                                              <w:divBdr>
                                                                                <w:top w:val="none" w:sz="0" w:space="0" w:color="auto"/>
                                                                                <w:left w:val="none" w:sz="0" w:space="0" w:color="auto"/>
                                                                                <w:bottom w:val="none" w:sz="0" w:space="0" w:color="auto"/>
                                                                                <w:right w:val="none" w:sz="0" w:space="0" w:color="auto"/>
                                                                              </w:divBdr>
                                                                              <w:divsChild>
                                                                                <w:div w:id="1030765991">
                                                                                  <w:marLeft w:val="0"/>
                                                                                  <w:marRight w:val="0"/>
                                                                                  <w:marTop w:val="0"/>
                                                                                  <w:marBottom w:val="0"/>
                                                                                  <w:divBdr>
                                                                                    <w:top w:val="none" w:sz="0" w:space="0" w:color="auto"/>
                                                                                    <w:left w:val="none" w:sz="0" w:space="0" w:color="auto"/>
                                                                                    <w:bottom w:val="none" w:sz="0" w:space="0" w:color="auto"/>
                                                                                    <w:right w:val="none" w:sz="0" w:space="0" w:color="auto"/>
                                                                                  </w:divBdr>
                                                                                  <w:divsChild>
                                                                                    <w:div w:id="1089079692">
                                                                                      <w:marLeft w:val="0"/>
                                                                                      <w:marRight w:val="0"/>
                                                                                      <w:marTop w:val="0"/>
                                                                                      <w:marBottom w:val="0"/>
                                                                                      <w:divBdr>
                                                                                        <w:top w:val="none" w:sz="0" w:space="0" w:color="auto"/>
                                                                                        <w:left w:val="none" w:sz="0" w:space="0" w:color="auto"/>
                                                                                        <w:bottom w:val="none" w:sz="0" w:space="0" w:color="auto"/>
                                                                                        <w:right w:val="none" w:sz="0" w:space="0" w:color="auto"/>
                                                                                      </w:divBdr>
                                                                                      <w:divsChild>
                                                                                        <w:div w:id="2037844410">
                                                                                          <w:marLeft w:val="0"/>
                                                                                          <w:marRight w:val="0"/>
                                                                                          <w:marTop w:val="0"/>
                                                                                          <w:marBottom w:val="0"/>
                                                                                          <w:divBdr>
                                                                                            <w:top w:val="none" w:sz="0" w:space="0" w:color="auto"/>
                                                                                            <w:left w:val="none" w:sz="0" w:space="0" w:color="auto"/>
                                                                                            <w:bottom w:val="none" w:sz="0" w:space="0" w:color="auto"/>
                                                                                            <w:right w:val="none" w:sz="0" w:space="0" w:color="auto"/>
                                                                                          </w:divBdr>
                                                                                          <w:divsChild>
                                                                                            <w:div w:id="897204538">
                                                                                              <w:marLeft w:val="0"/>
                                                                                              <w:marRight w:val="0"/>
                                                                                              <w:marTop w:val="0"/>
                                                                                              <w:marBottom w:val="0"/>
                                                                                              <w:divBdr>
                                                                                                <w:top w:val="none" w:sz="0" w:space="0" w:color="auto"/>
                                                                                                <w:left w:val="none" w:sz="0" w:space="0" w:color="auto"/>
                                                                                                <w:bottom w:val="none" w:sz="0" w:space="0" w:color="auto"/>
                                                                                                <w:right w:val="none" w:sz="0" w:space="0" w:color="auto"/>
                                                                                              </w:divBdr>
                                                                                              <w:divsChild>
                                                                                                <w:div w:id="1980836884">
                                                                                                  <w:marLeft w:val="0"/>
                                                                                                  <w:marRight w:val="0"/>
                                                                                                  <w:marTop w:val="0"/>
                                                                                                  <w:marBottom w:val="0"/>
                                                                                                  <w:divBdr>
                                                                                                    <w:top w:val="none" w:sz="0" w:space="0" w:color="auto"/>
                                                                                                    <w:left w:val="none" w:sz="0" w:space="0" w:color="auto"/>
                                                                                                    <w:bottom w:val="none" w:sz="0" w:space="0" w:color="auto"/>
                                                                                                    <w:right w:val="none" w:sz="0" w:space="0" w:color="auto"/>
                                                                                                  </w:divBdr>
                                                                                                </w:div>
                                                                                                <w:div w:id="522204877">
                                                                                                  <w:marLeft w:val="360"/>
                                                                                                  <w:marRight w:val="0"/>
                                                                                                  <w:marTop w:val="0"/>
                                                                                                  <w:marBottom w:val="0"/>
                                                                                                  <w:divBdr>
                                                                                                    <w:top w:val="none" w:sz="0" w:space="0" w:color="auto"/>
                                                                                                    <w:left w:val="none" w:sz="0" w:space="0" w:color="auto"/>
                                                                                                    <w:bottom w:val="none" w:sz="0" w:space="0" w:color="auto"/>
                                                                                                    <w:right w:val="none" w:sz="0" w:space="0" w:color="auto"/>
                                                                                                  </w:divBdr>
                                                                                                </w:div>
                                                                                                <w:div w:id="102113765">
                                                                                                  <w:marLeft w:val="360"/>
                                                                                                  <w:marRight w:val="0"/>
                                                                                                  <w:marTop w:val="0"/>
                                                                                                  <w:marBottom w:val="0"/>
                                                                                                  <w:divBdr>
                                                                                                    <w:top w:val="none" w:sz="0" w:space="0" w:color="auto"/>
                                                                                                    <w:left w:val="none" w:sz="0" w:space="0" w:color="auto"/>
                                                                                                    <w:bottom w:val="none" w:sz="0" w:space="0" w:color="auto"/>
                                                                                                    <w:right w:val="none" w:sz="0" w:space="0" w:color="auto"/>
                                                                                                  </w:divBdr>
                                                                                                </w:div>
                                                                                                <w:div w:id="1208109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720811">
      <w:bodyDiv w:val="1"/>
      <w:marLeft w:val="0"/>
      <w:marRight w:val="0"/>
      <w:marTop w:val="0"/>
      <w:marBottom w:val="0"/>
      <w:divBdr>
        <w:top w:val="none" w:sz="0" w:space="0" w:color="auto"/>
        <w:left w:val="none" w:sz="0" w:space="0" w:color="auto"/>
        <w:bottom w:val="none" w:sz="0" w:space="0" w:color="auto"/>
        <w:right w:val="none" w:sz="0" w:space="0" w:color="auto"/>
      </w:divBdr>
    </w:div>
    <w:div w:id="443810455">
      <w:bodyDiv w:val="1"/>
      <w:marLeft w:val="0"/>
      <w:marRight w:val="0"/>
      <w:marTop w:val="0"/>
      <w:marBottom w:val="0"/>
      <w:divBdr>
        <w:top w:val="none" w:sz="0" w:space="0" w:color="auto"/>
        <w:left w:val="none" w:sz="0" w:space="0" w:color="auto"/>
        <w:bottom w:val="none" w:sz="0" w:space="0" w:color="auto"/>
        <w:right w:val="none" w:sz="0" w:space="0" w:color="auto"/>
      </w:divBdr>
      <w:divsChild>
        <w:div w:id="1666126269">
          <w:marLeft w:val="0"/>
          <w:marRight w:val="0"/>
          <w:marTop w:val="0"/>
          <w:marBottom w:val="0"/>
          <w:divBdr>
            <w:top w:val="none" w:sz="0" w:space="0" w:color="auto"/>
            <w:left w:val="none" w:sz="0" w:space="0" w:color="auto"/>
            <w:bottom w:val="none" w:sz="0" w:space="0" w:color="auto"/>
            <w:right w:val="none" w:sz="0" w:space="0" w:color="auto"/>
          </w:divBdr>
        </w:div>
      </w:divsChild>
    </w:div>
    <w:div w:id="457114623">
      <w:bodyDiv w:val="1"/>
      <w:marLeft w:val="0"/>
      <w:marRight w:val="0"/>
      <w:marTop w:val="0"/>
      <w:marBottom w:val="0"/>
      <w:divBdr>
        <w:top w:val="none" w:sz="0" w:space="0" w:color="auto"/>
        <w:left w:val="none" w:sz="0" w:space="0" w:color="auto"/>
        <w:bottom w:val="none" w:sz="0" w:space="0" w:color="auto"/>
        <w:right w:val="none" w:sz="0" w:space="0" w:color="auto"/>
      </w:divBdr>
      <w:divsChild>
        <w:div w:id="1258902778">
          <w:marLeft w:val="0"/>
          <w:marRight w:val="0"/>
          <w:marTop w:val="0"/>
          <w:marBottom w:val="0"/>
          <w:divBdr>
            <w:top w:val="none" w:sz="0" w:space="0" w:color="auto"/>
            <w:left w:val="none" w:sz="0" w:space="0" w:color="auto"/>
            <w:bottom w:val="none" w:sz="0" w:space="0" w:color="auto"/>
            <w:right w:val="none" w:sz="0" w:space="0" w:color="auto"/>
          </w:divBdr>
        </w:div>
      </w:divsChild>
    </w:div>
    <w:div w:id="535580052">
      <w:bodyDiv w:val="1"/>
      <w:marLeft w:val="0"/>
      <w:marRight w:val="0"/>
      <w:marTop w:val="0"/>
      <w:marBottom w:val="0"/>
      <w:divBdr>
        <w:top w:val="none" w:sz="0" w:space="0" w:color="auto"/>
        <w:left w:val="none" w:sz="0" w:space="0" w:color="auto"/>
        <w:bottom w:val="none" w:sz="0" w:space="0" w:color="auto"/>
        <w:right w:val="none" w:sz="0" w:space="0" w:color="auto"/>
      </w:divBdr>
    </w:div>
    <w:div w:id="539244728">
      <w:bodyDiv w:val="1"/>
      <w:marLeft w:val="0"/>
      <w:marRight w:val="0"/>
      <w:marTop w:val="0"/>
      <w:marBottom w:val="0"/>
      <w:divBdr>
        <w:top w:val="none" w:sz="0" w:space="0" w:color="auto"/>
        <w:left w:val="none" w:sz="0" w:space="0" w:color="auto"/>
        <w:bottom w:val="none" w:sz="0" w:space="0" w:color="auto"/>
        <w:right w:val="none" w:sz="0" w:space="0" w:color="auto"/>
      </w:divBdr>
    </w:div>
    <w:div w:id="550578558">
      <w:bodyDiv w:val="1"/>
      <w:marLeft w:val="0"/>
      <w:marRight w:val="0"/>
      <w:marTop w:val="0"/>
      <w:marBottom w:val="0"/>
      <w:divBdr>
        <w:top w:val="none" w:sz="0" w:space="0" w:color="auto"/>
        <w:left w:val="none" w:sz="0" w:space="0" w:color="auto"/>
        <w:bottom w:val="none" w:sz="0" w:space="0" w:color="auto"/>
        <w:right w:val="none" w:sz="0" w:space="0" w:color="auto"/>
      </w:divBdr>
      <w:divsChild>
        <w:div w:id="341318365">
          <w:marLeft w:val="0"/>
          <w:marRight w:val="0"/>
          <w:marTop w:val="0"/>
          <w:marBottom w:val="0"/>
          <w:divBdr>
            <w:top w:val="none" w:sz="0" w:space="0" w:color="auto"/>
            <w:left w:val="none" w:sz="0" w:space="0" w:color="auto"/>
            <w:bottom w:val="none" w:sz="0" w:space="0" w:color="auto"/>
            <w:right w:val="none" w:sz="0" w:space="0" w:color="auto"/>
          </w:divBdr>
          <w:divsChild>
            <w:div w:id="283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41">
      <w:bodyDiv w:val="1"/>
      <w:marLeft w:val="0"/>
      <w:marRight w:val="0"/>
      <w:marTop w:val="0"/>
      <w:marBottom w:val="0"/>
      <w:divBdr>
        <w:top w:val="none" w:sz="0" w:space="0" w:color="auto"/>
        <w:left w:val="none" w:sz="0" w:space="0" w:color="auto"/>
        <w:bottom w:val="none" w:sz="0" w:space="0" w:color="auto"/>
        <w:right w:val="none" w:sz="0" w:space="0" w:color="auto"/>
      </w:divBdr>
      <w:divsChild>
        <w:div w:id="1643001090">
          <w:marLeft w:val="0"/>
          <w:marRight w:val="0"/>
          <w:marTop w:val="0"/>
          <w:marBottom w:val="0"/>
          <w:divBdr>
            <w:top w:val="none" w:sz="0" w:space="0" w:color="auto"/>
            <w:left w:val="none" w:sz="0" w:space="0" w:color="auto"/>
            <w:bottom w:val="none" w:sz="0" w:space="0" w:color="auto"/>
            <w:right w:val="none" w:sz="0" w:space="0" w:color="auto"/>
          </w:divBdr>
          <w:divsChild>
            <w:div w:id="1627928619">
              <w:marLeft w:val="0"/>
              <w:marRight w:val="0"/>
              <w:marTop w:val="0"/>
              <w:marBottom w:val="0"/>
              <w:divBdr>
                <w:top w:val="none" w:sz="0" w:space="0" w:color="auto"/>
                <w:left w:val="none" w:sz="0" w:space="0" w:color="auto"/>
                <w:bottom w:val="none" w:sz="0" w:space="0" w:color="auto"/>
                <w:right w:val="none" w:sz="0" w:space="0" w:color="auto"/>
              </w:divBdr>
              <w:divsChild>
                <w:div w:id="1100879192">
                  <w:marLeft w:val="0"/>
                  <w:marRight w:val="0"/>
                  <w:marTop w:val="0"/>
                  <w:marBottom w:val="0"/>
                  <w:divBdr>
                    <w:top w:val="none" w:sz="0" w:space="0" w:color="auto"/>
                    <w:left w:val="none" w:sz="0" w:space="0" w:color="auto"/>
                    <w:bottom w:val="none" w:sz="0" w:space="0" w:color="auto"/>
                    <w:right w:val="none" w:sz="0" w:space="0" w:color="auto"/>
                  </w:divBdr>
                  <w:divsChild>
                    <w:div w:id="1842970117">
                      <w:marLeft w:val="0"/>
                      <w:marRight w:val="0"/>
                      <w:marTop w:val="0"/>
                      <w:marBottom w:val="0"/>
                      <w:divBdr>
                        <w:top w:val="none" w:sz="0" w:space="0" w:color="auto"/>
                        <w:left w:val="none" w:sz="0" w:space="0" w:color="auto"/>
                        <w:bottom w:val="none" w:sz="0" w:space="0" w:color="auto"/>
                        <w:right w:val="none" w:sz="0" w:space="0" w:color="auto"/>
                      </w:divBdr>
                      <w:divsChild>
                        <w:div w:id="1884056333">
                          <w:marLeft w:val="0"/>
                          <w:marRight w:val="0"/>
                          <w:marTop w:val="0"/>
                          <w:marBottom w:val="0"/>
                          <w:divBdr>
                            <w:top w:val="none" w:sz="0" w:space="0" w:color="auto"/>
                            <w:left w:val="none" w:sz="0" w:space="0" w:color="auto"/>
                            <w:bottom w:val="none" w:sz="0" w:space="0" w:color="auto"/>
                            <w:right w:val="none" w:sz="0" w:space="0" w:color="auto"/>
                          </w:divBdr>
                          <w:divsChild>
                            <w:div w:id="357783217">
                              <w:marLeft w:val="0"/>
                              <w:marRight w:val="0"/>
                              <w:marTop w:val="0"/>
                              <w:marBottom w:val="0"/>
                              <w:divBdr>
                                <w:top w:val="none" w:sz="0" w:space="0" w:color="auto"/>
                                <w:left w:val="none" w:sz="0" w:space="0" w:color="auto"/>
                                <w:bottom w:val="none" w:sz="0" w:space="0" w:color="auto"/>
                                <w:right w:val="none" w:sz="0" w:space="0" w:color="auto"/>
                              </w:divBdr>
                              <w:divsChild>
                                <w:div w:id="44961530">
                                  <w:marLeft w:val="0"/>
                                  <w:marRight w:val="0"/>
                                  <w:marTop w:val="0"/>
                                  <w:marBottom w:val="0"/>
                                  <w:divBdr>
                                    <w:top w:val="none" w:sz="0" w:space="0" w:color="auto"/>
                                    <w:left w:val="none" w:sz="0" w:space="0" w:color="auto"/>
                                    <w:bottom w:val="none" w:sz="0" w:space="0" w:color="auto"/>
                                    <w:right w:val="none" w:sz="0" w:space="0" w:color="auto"/>
                                  </w:divBdr>
                                  <w:divsChild>
                                    <w:div w:id="1211962743">
                                      <w:marLeft w:val="0"/>
                                      <w:marRight w:val="0"/>
                                      <w:marTop w:val="0"/>
                                      <w:marBottom w:val="0"/>
                                      <w:divBdr>
                                        <w:top w:val="none" w:sz="0" w:space="0" w:color="auto"/>
                                        <w:left w:val="none" w:sz="0" w:space="0" w:color="auto"/>
                                        <w:bottom w:val="none" w:sz="0" w:space="0" w:color="auto"/>
                                        <w:right w:val="none" w:sz="0" w:space="0" w:color="auto"/>
                                      </w:divBdr>
                                      <w:divsChild>
                                        <w:div w:id="1163007079">
                                          <w:marLeft w:val="0"/>
                                          <w:marRight w:val="0"/>
                                          <w:marTop w:val="0"/>
                                          <w:marBottom w:val="0"/>
                                          <w:divBdr>
                                            <w:top w:val="none" w:sz="0" w:space="0" w:color="auto"/>
                                            <w:left w:val="none" w:sz="0" w:space="0" w:color="auto"/>
                                            <w:bottom w:val="none" w:sz="0" w:space="0" w:color="auto"/>
                                            <w:right w:val="none" w:sz="0" w:space="0" w:color="auto"/>
                                          </w:divBdr>
                                          <w:divsChild>
                                            <w:div w:id="1044402373">
                                              <w:marLeft w:val="0"/>
                                              <w:marRight w:val="0"/>
                                              <w:marTop w:val="0"/>
                                              <w:marBottom w:val="0"/>
                                              <w:divBdr>
                                                <w:top w:val="none" w:sz="0" w:space="0" w:color="auto"/>
                                                <w:left w:val="none" w:sz="0" w:space="0" w:color="auto"/>
                                                <w:bottom w:val="none" w:sz="0" w:space="0" w:color="auto"/>
                                                <w:right w:val="none" w:sz="0" w:space="0" w:color="auto"/>
                                              </w:divBdr>
                                              <w:divsChild>
                                                <w:div w:id="533082797">
                                                  <w:marLeft w:val="0"/>
                                                  <w:marRight w:val="0"/>
                                                  <w:marTop w:val="0"/>
                                                  <w:marBottom w:val="0"/>
                                                  <w:divBdr>
                                                    <w:top w:val="none" w:sz="0" w:space="0" w:color="auto"/>
                                                    <w:left w:val="none" w:sz="0" w:space="0" w:color="auto"/>
                                                    <w:bottom w:val="none" w:sz="0" w:space="0" w:color="auto"/>
                                                    <w:right w:val="none" w:sz="0" w:space="0" w:color="auto"/>
                                                  </w:divBdr>
                                                  <w:divsChild>
                                                    <w:div w:id="1373077143">
                                                      <w:marLeft w:val="0"/>
                                                      <w:marRight w:val="0"/>
                                                      <w:marTop w:val="0"/>
                                                      <w:marBottom w:val="0"/>
                                                      <w:divBdr>
                                                        <w:top w:val="none" w:sz="0" w:space="0" w:color="auto"/>
                                                        <w:left w:val="none" w:sz="0" w:space="0" w:color="auto"/>
                                                        <w:bottom w:val="none" w:sz="0" w:space="0" w:color="auto"/>
                                                        <w:right w:val="none" w:sz="0" w:space="0" w:color="auto"/>
                                                      </w:divBdr>
                                                      <w:divsChild>
                                                        <w:div w:id="653144913">
                                                          <w:marLeft w:val="0"/>
                                                          <w:marRight w:val="0"/>
                                                          <w:marTop w:val="0"/>
                                                          <w:marBottom w:val="0"/>
                                                          <w:divBdr>
                                                            <w:top w:val="none" w:sz="0" w:space="0" w:color="auto"/>
                                                            <w:left w:val="none" w:sz="0" w:space="0" w:color="auto"/>
                                                            <w:bottom w:val="none" w:sz="0" w:space="0" w:color="auto"/>
                                                            <w:right w:val="none" w:sz="0" w:space="0" w:color="auto"/>
                                                          </w:divBdr>
                                                          <w:divsChild>
                                                            <w:div w:id="1207450639">
                                                              <w:marLeft w:val="0"/>
                                                              <w:marRight w:val="150"/>
                                                              <w:marTop w:val="0"/>
                                                              <w:marBottom w:val="150"/>
                                                              <w:divBdr>
                                                                <w:top w:val="none" w:sz="0" w:space="0" w:color="auto"/>
                                                                <w:left w:val="none" w:sz="0" w:space="0" w:color="auto"/>
                                                                <w:bottom w:val="none" w:sz="0" w:space="0" w:color="auto"/>
                                                                <w:right w:val="none" w:sz="0" w:space="0" w:color="auto"/>
                                                              </w:divBdr>
                                                              <w:divsChild>
                                                                <w:div w:id="4596647">
                                                                  <w:marLeft w:val="0"/>
                                                                  <w:marRight w:val="0"/>
                                                                  <w:marTop w:val="0"/>
                                                                  <w:marBottom w:val="0"/>
                                                                  <w:divBdr>
                                                                    <w:top w:val="none" w:sz="0" w:space="0" w:color="auto"/>
                                                                    <w:left w:val="none" w:sz="0" w:space="0" w:color="auto"/>
                                                                    <w:bottom w:val="none" w:sz="0" w:space="0" w:color="auto"/>
                                                                    <w:right w:val="none" w:sz="0" w:space="0" w:color="auto"/>
                                                                  </w:divBdr>
                                                                  <w:divsChild>
                                                                    <w:div w:id="1188836906">
                                                                      <w:marLeft w:val="0"/>
                                                                      <w:marRight w:val="0"/>
                                                                      <w:marTop w:val="0"/>
                                                                      <w:marBottom w:val="0"/>
                                                                      <w:divBdr>
                                                                        <w:top w:val="none" w:sz="0" w:space="0" w:color="auto"/>
                                                                        <w:left w:val="none" w:sz="0" w:space="0" w:color="auto"/>
                                                                        <w:bottom w:val="none" w:sz="0" w:space="0" w:color="auto"/>
                                                                        <w:right w:val="none" w:sz="0" w:space="0" w:color="auto"/>
                                                                      </w:divBdr>
                                                                      <w:divsChild>
                                                                        <w:div w:id="904219044">
                                                                          <w:marLeft w:val="0"/>
                                                                          <w:marRight w:val="0"/>
                                                                          <w:marTop w:val="0"/>
                                                                          <w:marBottom w:val="0"/>
                                                                          <w:divBdr>
                                                                            <w:top w:val="none" w:sz="0" w:space="0" w:color="auto"/>
                                                                            <w:left w:val="none" w:sz="0" w:space="0" w:color="auto"/>
                                                                            <w:bottom w:val="none" w:sz="0" w:space="0" w:color="auto"/>
                                                                            <w:right w:val="none" w:sz="0" w:space="0" w:color="auto"/>
                                                                          </w:divBdr>
                                                                          <w:divsChild>
                                                                            <w:div w:id="1825001259">
                                                                              <w:marLeft w:val="0"/>
                                                                              <w:marRight w:val="0"/>
                                                                              <w:marTop w:val="0"/>
                                                                              <w:marBottom w:val="0"/>
                                                                              <w:divBdr>
                                                                                <w:top w:val="none" w:sz="0" w:space="0" w:color="auto"/>
                                                                                <w:left w:val="none" w:sz="0" w:space="0" w:color="auto"/>
                                                                                <w:bottom w:val="none" w:sz="0" w:space="0" w:color="auto"/>
                                                                                <w:right w:val="none" w:sz="0" w:space="0" w:color="auto"/>
                                                                              </w:divBdr>
                                                                              <w:divsChild>
                                                                                <w:div w:id="942807348">
                                                                                  <w:marLeft w:val="0"/>
                                                                                  <w:marRight w:val="0"/>
                                                                                  <w:marTop w:val="0"/>
                                                                                  <w:marBottom w:val="0"/>
                                                                                  <w:divBdr>
                                                                                    <w:top w:val="none" w:sz="0" w:space="0" w:color="auto"/>
                                                                                    <w:left w:val="none" w:sz="0" w:space="0" w:color="auto"/>
                                                                                    <w:bottom w:val="none" w:sz="0" w:space="0" w:color="auto"/>
                                                                                    <w:right w:val="none" w:sz="0" w:space="0" w:color="auto"/>
                                                                                  </w:divBdr>
                                                                                  <w:divsChild>
                                                                                    <w:div w:id="628709340">
                                                                                      <w:marLeft w:val="720"/>
                                                                                      <w:marRight w:val="0"/>
                                                                                      <w:marTop w:val="0"/>
                                                                                      <w:marBottom w:val="0"/>
                                                                                      <w:divBdr>
                                                                                        <w:top w:val="none" w:sz="0" w:space="0" w:color="auto"/>
                                                                                        <w:left w:val="none" w:sz="0" w:space="0" w:color="auto"/>
                                                                                        <w:bottom w:val="none" w:sz="0" w:space="0" w:color="auto"/>
                                                                                        <w:right w:val="none" w:sz="0" w:space="0" w:color="auto"/>
                                                                                      </w:divBdr>
                                                                                    </w:div>
                                                                                    <w:div w:id="1032264416">
                                                                                      <w:marLeft w:val="720"/>
                                                                                      <w:marRight w:val="0"/>
                                                                                      <w:marTop w:val="0"/>
                                                                                      <w:marBottom w:val="0"/>
                                                                                      <w:divBdr>
                                                                                        <w:top w:val="none" w:sz="0" w:space="0" w:color="auto"/>
                                                                                        <w:left w:val="none" w:sz="0" w:space="0" w:color="auto"/>
                                                                                        <w:bottom w:val="none" w:sz="0" w:space="0" w:color="auto"/>
                                                                                        <w:right w:val="none" w:sz="0" w:space="0" w:color="auto"/>
                                                                                      </w:divBdr>
                                                                                    </w:div>
                                                                                    <w:div w:id="317152993">
                                                                                      <w:marLeft w:val="720"/>
                                                                                      <w:marRight w:val="0"/>
                                                                                      <w:marTop w:val="0"/>
                                                                                      <w:marBottom w:val="0"/>
                                                                                      <w:divBdr>
                                                                                        <w:top w:val="none" w:sz="0" w:space="0" w:color="auto"/>
                                                                                        <w:left w:val="none" w:sz="0" w:space="0" w:color="auto"/>
                                                                                        <w:bottom w:val="none" w:sz="0" w:space="0" w:color="auto"/>
                                                                                        <w:right w:val="none" w:sz="0" w:space="0" w:color="auto"/>
                                                                                      </w:divBdr>
                                                                                    </w:div>
                                                                                    <w:div w:id="2054311007">
                                                                                      <w:marLeft w:val="720"/>
                                                                                      <w:marRight w:val="0"/>
                                                                                      <w:marTop w:val="0"/>
                                                                                      <w:marBottom w:val="0"/>
                                                                                      <w:divBdr>
                                                                                        <w:top w:val="none" w:sz="0" w:space="0" w:color="auto"/>
                                                                                        <w:left w:val="none" w:sz="0" w:space="0" w:color="auto"/>
                                                                                        <w:bottom w:val="none" w:sz="0" w:space="0" w:color="auto"/>
                                                                                        <w:right w:val="none" w:sz="0" w:space="0" w:color="auto"/>
                                                                                      </w:divBdr>
                                                                                    </w:div>
                                                                                    <w:div w:id="2077587936">
                                                                                      <w:marLeft w:val="720"/>
                                                                                      <w:marRight w:val="0"/>
                                                                                      <w:marTop w:val="0"/>
                                                                                      <w:marBottom w:val="0"/>
                                                                                      <w:divBdr>
                                                                                        <w:top w:val="none" w:sz="0" w:space="0" w:color="auto"/>
                                                                                        <w:left w:val="none" w:sz="0" w:space="0" w:color="auto"/>
                                                                                        <w:bottom w:val="none" w:sz="0" w:space="0" w:color="auto"/>
                                                                                        <w:right w:val="none" w:sz="0" w:space="0" w:color="auto"/>
                                                                                      </w:divBdr>
                                                                                    </w:div>
                                                                                    <w:div w:id="626008820">
                                                                                      <w:marLeft w:val="720"/>
                                                                                      <w:marRight w:val="0"/>
                                                                                      <w:marTop w:val="0"/>
                                                                                      <w:marBottom w:val="0"/>
                                                                                      <w:divBdr>
                                                                                        <w:top w:val="none" w:sz="0" w:space="0" w:color="auto"/>
                                                                                        <w:left w:val="none" w:sz="0" w:space="0" w:color="auto"/>
                                                                                        <w:bottom w:val="none" w:sz="0" w:space="0" w:color="auto"/>
                                                                                        <w:right w:val="none" w:sz="0" w:space="0" w:color="auto"/>
                                                                                      </w:divBdr>
                                                                                    </w:div>
                                                                                    <w:div w:id="150369243">
                                                                                      <w:marLeft w:val="720"/>
                                                                                      <w:marRight w:val="0"/>
                                                                                      <w:marTop w:val="0"/>
                                                                                      <w:marBottom w:val="0"/>
                                                                                      <w:divBdr>
                                                                                        <w:top w:val="none" w:sz="0" w:space="0" w:color="auto"/>
                                                                                        <w:left w:val="none" w:sz="0" w:space="0" w:color="auto"/>
                                                                                        <w:bottom w:val="none" w:sz="0" w:space="0" w:color="auto"/>
                                                                                        <w:right w:val="none" w:sz="0" w:space="0" w:color="auto"/>
                                                                                      </w:divBdr>
                                                                                    </w:div>
                                                                                    <w:div w:id="9979242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500186">
      <w:bodyDiv w:val="1"/>
      <w:marLeft w:val="0"/>
      <w:marRight w:val="0"/>
      <w:marTop w:val="0"/>
      <w:marBottom w:val="0"/>
      <w:divBdr>
        <w:top w:val="none" w:sz="0" w:space="0" w:color="auto"/>
        <w:left w:val="none" w:sz="0" w:space="0" w:color="auto"/>
        <w:bottom w:val="none" w:sz="0" w:space="0" w:color="auto"/>
        <w:right w:val="none" w:sz="0" w:space="0" w:color="auto"/>
      </w:divBdr>
    </w:div>
    <w:div w:id="754715407">
      <w:bodyDiv w:val="1"/>
      <w:marLeft w:val="0"/>
      <w:marRight w:val="0"/>
      <w:marTop w:val="0"/>
      <w:marBottom w:val="0"/>
      <w:divBdr>
        <w:top w:val="none" w:sz="0" w:space="0" w:color="auto"/>
        <w:left w:val="none" w:sz="0" w:space="0" w:color="auto"/>
        <w:bottom w:val="none" w:sz="0" w:space="0" w:color="auto"/>
        <w:right w:val="none" w:sz="0" w:space="0" w:color="auto"/>
      </w:divBdr>
    </w:div>
    <w:div w:id="790781545">
      <w:bodyDiv w:val="1"/>
      <w:marLeft w:val="0"/>
      <w:marRight w:val="0"/>
      <w:marTop w:val="0"/>
      <w:marBottom w:val="0"/>
      <w:divBdr>
        <w:top w:val="none" w:sz="0" w:space="0" w:color="auto"/>
        <w:left w:val="none" w:sz="0" w:space="0" w:color="auto"/>
        <w:bottom w:val="none" w:sz="0" w:space="0" w:color="auto"/>
        <w:right w:val="none" w:sz="0" w:space="0" w:color="auto"/>
      </w:divBdr>
    </w:div>
    <w:div w:id="808864326">
      <w:bodyDiv w:val="1"/>
      <w:marLeft w:val="0"/>
      <w:marRight w:val="0"/>
      <w:marTop w:val="0"/>
      <w:marBottom w:val="0"/>
      <w:divBdr>
        <w:top w:val="none" w:sz="0" w:space="0" w:color="auto"/>
        <w:left w:val="none" w:sz="0" w:space="0" w:color="auto"/>
        <w:bottom w:val="none" w:sz="0" w:space="0" w:color="auto"/>
        <w:right w:val="none" w:sz="0" w:space="0" w:color="auto"/>
      </w:divBdr>
    </w:div>
    <w:div w:id="835539636">
      <w:bodyDiv w:val="1"/>
      <w:marLeft w:val="0"/>
      <w:marRight w:val="0"/>
      <w:marTop w:val="0"/>
      <w:marBottom w:val="0"/>
      <w:divBdr>
        <w:top w:val="none" w:sz="0" w:space="0" w:color="auto"/>
        <w:left w:val="none" w:sz="0" w:space="0" w:color="auto"/>
        <w:bottom w:val="none" w:sz="0" w:space="0" w:color="auto"/>
        <w:right w:val="none" w:sz="0" w:space="0" w:color="auto"/>
      </w:divBdr>
      <w:divsChild>
        <w:div w:id="646134886">
          <w:marLeft w:val="0"/>
          <w:marRight w:val="0"/>
          <w:marTop w:val="0"/>
          <w:marBottom w:val="0"/>
          <w:divBdr>
            <w:top w:val="none" w:sz="0" w:space="0" w:color="auto"/>
            <w:left w:val="none" w:sz="0" w:space="0" w:color="auto"/>
            <w:bottom w:val="none" w:sz="0" w:space="0" w:color="auto"/>
            <w:right w:val="none" w:sz="0" w:space="0" w:color="auto"/>
          </w:divBdr>
        </w:div>
      </w:divsChild>
    </w:div>
    <w:div w:id="936403702">
      <w:bodyDiv w:val="1"/>
      <w:marLeft w:val="0"/>
      <w:marRight w:val="0"/>
      <w:marTop w:val="0"/>
      <w:marBottom w:val="0"/>
      <w:divBdr>
        <w:top w:val="none" w:sz="0" w:space="0" w:color="auto"/>
        <w:left w:val="none" w:sz="0" w:space="0" w:color="auto"/>
        <w:bottom w:val="none" w:sz="0" w:space="0" w:color="auto"/>
        <w:right w:val="none" w:sz="0" w:space="0" w:color="auto"/>
      </w:divBdr>
    </w:div>
    <w:div w:id="965697968">
      <w:bodyDiv w:val="1"/>
      <w:marLeft w:val="0"/>
      <w:marRight w:val="0"/>
      <w:marTop w:val="0"/>
      <w:marBottom w:val="0"/>
      <w:divBdr>
        <w:top w:val="none" w:sz="0" w:space="0" w:color="auto"/>
        <w:left w:val="none" w:sz="0" w:space="0" w:color="auto"/>
        <w:bottom w:val="none" w:sz="0" w:space="0" w:color="auto"/>
        <w:right w:val="none" w:sz="0" w:space="0" w:color="auto"/>
      </w:divBdr>
    </w:div>
    <w:div w:id="1015419084">
      <w:bodyDiv w:val="1"/>
      <w:marLeft w:val="0"/>
      <w:marRight w:val="0"/>
      <w:marTop w:val="0"/>
      <w:marBottom w:val="0"/>
      <w:divBdr>
        <w:top w:val="none" w:sz="0" w:space="0" w:color="auto"/>
        <w:left w:val="none" w:sz="0" w:space="0" w:color="auto"/>
        <w:bottom w:val="none" w:sz="0" w:space="0" w:color="auto"/>
        <w:right w:val="none" w:sz="0" w:space="0" w:color="auto"/>
      </w:divBdr>
      <w:divsChild>
        <w:div w:id="1379013031">
          <w:marLeft w:val="0"/>
          <w:marRight w:val="0"/>
          <w:marTop w:val="0"/>
          <w:marBottom w:val="0"/>
          <w:divBdr>
            <w:top w:val="none" w:sz="0" w:space="0" w:color="auto"/>
            <w:left w:val="none" w:sz="0" w:space="0" w:color="auto"/>
            <w:bottom w:val="none" w:sz="0" w:space="0" w:color="auto"/>
            <w:right w:val="none" w:sz="0" w:space="0" w:color="auto"/>
          </w:divBdr>
        </w:div>
      </w:divsChild>
    </w:div>
    <w:div w:id="1044452725">
      <w:bodyDiv w:val="1"/>
      <w:marLeft w:val="0"/>
      <w:marRight w:val="0"/>
      <w:marTop w:val="0"/>
      <w:marBottom w:val="0"/>
      <w:divBdr>
        <w:top w:val="none" w:sz="0" w:space="0" w:color="auto"/>
        <w:left w:val="none" w:sz="0" w:space="0" w:color="auto"/>
        <w:bottom w:val="none" w:sz="0" w:space="0" w:color="auto"/>
        <w:right w:val="none" w:sz="0" w:space="0" w:color="auto"/>
      </w:divBdr>
    </w:div>
    <w:div w:id="112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81579547">
          <w:marLeft w:val="0"/>
          <w:marRight w:val="0"/>
          <w:marTop w:val="0"/>
          <w:marBottom w:val="0"/>
          <w:divBdr>
            <w:top w:val="none" w:sz="0" w:space="0" w:color="auto"/>
            <w:left w:val="none" w:sz="0" w:space="0" w:color="auto"/>
            <w:bottom w:val="none" w:sz="0" w:space="0" w:color="auto"/>
            <w:right w:val="none" w:sz="0" w:space="0" w:color="auto"/>
          </w:divBdr>
          <w:divsChild>
            <w:div w:id="1281305435">
              <w:marLeft w:val="0"/>
              <w:marRight w:val="0"/>
              <w:marTop w:val="0"/>
              <w:marBottom w:val="0"/>
              <w:divBdr>
                <w:top w:val="none" w:sz="0" w:space="0" w:color="auto"/>
                <w:left w:val="none" w:sz="0" w:space="0" w:color="auto"/>
                <w:bottom w:val="none" w:sz="0" w:space="0" w:color="auto"/>
                <w:right w:val="none" w:sz="0" w:space="0" w:color="auto"/>
              </w:divBdr>
              <w:divsChild>
                <w:div w:id="595986881">
                  <w:marLeft w:val="0"/>
                  <w:marRight w:val="0"/>
                  <w:marTop w:val="0"/>
                  <w:marBottom w:val="0"/>
                  <w:divBdr>
                    <w:top w:val="none" w:sz="0" w:space="0" w:color="auto"/>
                    <w:left w:val="none" w:sz="0" w:space="0" w:color="auto"/>
                    <w:bottom w:val="none" w:sz="0" w:space="0" w:color="auto"/>
                    <w:right w:val="none" w:sz="0" w:space="0" w:color="auto"/>
                  </w:divBdr>
                  <w:divsChild>
                    <w:div w:id="1905069718">
                      <w:marLeft w:val="0"/>
                      <w:marRight w:val="0"/>
                      <w:marTop w:val="0"/>
                      <w:marBottom w:val="0"/>
                      <w:divBdr>
                        <w:top w:val="none" w:sz="0" w:space="0" w:color="auto"/>
                        <w:left w:val="none" w:sz="0" w:space="0" w:color="auto"/>
                        <w:bottom w:val="none" w:sz="0" w:space="0" w:color="auto"/>
                        <w:right w:val="none" w:sz="0" w:space="0" w:color="auto"/>
                      </w:divBdr>
                      <w:divsChild>
                        <w:div w:id="1741437792">
                          <w:marLeft w:val="0"/>
                          <w:marRight w:val="0"/>
                          <w:marTop w:val="0"/>
                          <w:marBottom w:val="0"/>
                          <w:divBdr>
                            <w:top w:val="none" w:sz="0" w:space="0" w:color="auto"/>
                            <w:left w:val="none" w:sz="0" w:space="0" w:color="auto"/>
                            <w:bottom w:val="none" w:sz="0" w:space="0" w:color="auto"/>
                            <w:right w:val="none" w:sz="0" w:space="0" w:color="auto"/>
                          </w:divBdr>
                          <w:divsChild>
                            <w:div w:id="431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3558">
      <w:bodyDiv w:val="1"/>
      <w:marLeft w:val="0"/>
      <w:marRight w:val="0"/>
      <w:marTop w:val="0"/>
      <w:marBottom w:val="0"/>
      <w:divBdr>
        <w:top w:val="none" w:sz="0" w:space="0" w:color="auto"/>
        <w:left w:val="none" w:sz="0" w:space="0" w:color="auto"/>
        <w:bottom w:val="none" w:sz="0" w:space="0" w:color="auto"/>
        <w:right w:val="none" w:sz="0" w:space="0" w:color="auto"/>
      </w:divBdr>
    </w:div>
    <w:div w:id="1175804022">
      <w:bodyDiv w:val="1"/>
      <w:marLeft w:val="0"/>
      <w:marRight w:val="0"/>
      <w:marTop w:val="0"/>
      <w:marBottom w:val="0"/>
      <w:divBdr>
        <w:top w:val="none" w:sz="0" w:space="0" w:color="auto"/>
        <w:left w:val="none" w:sz="0" w:space="0" w:color="auto"/>
        <w:bottom w:val="none" w:sz="0" w:space="0" w:color="auto"/>
        <w:right w:val="none" w:sz="0" w:space="0" w:color="auto"/>
      </w:divBdr>
      <w:divsChild>
        <w:div w:id="1807044031">
          <w:marLeft w:val="0"/>
          <w:marRight w:val="0"/>
          <w:marTop w:val="0"/>
          <w:marBottom w:val="0"/>
          <w:divBdr>
            <w:top w:val="none" w:sz="0" w:space="0" w:color="auto"/>
            <w:left w:val="none" w:sz="0" w:space="0" w:color="auto"/>
            <w:bottom w:val="none" w:sz="0" w:space="0" w:color="auto"/>
            <w:right w:val="none" w:sz="0" w:space="0" w:color="auto"/>
          </w:divBdr>
        </w:div>
      </w:divsChild>
    </w:div>
    <w:div w:id="1220359607">
      <w:bodyDiv w:val="1"/>
      <w:marLeft w:val="0"/>
      <w:marRight w:val="0"/>
      <w:marTop w:val="0"/>
      <w:marBottom w:val="0"/>
      <w:divBdr>
        <w:top w:val="none" w:sz="0" w:space="0" w:color="auto"/>
        <w:left w:val="none" w:sz="0" w:space="0" w:color="auto"/>
        <w:bottom w:val="none" w:sz="0" w:space="0" w:color="auto"/>
        <w:right w:val="none" w:sz="0" w:space="0" w:color="auto"/>
      </w:divBdr>
    </w:div>
    <w:div w:id="1221406307">
      <w:bodyDiv w:val="1"/>
      <w:marLeft w:val="0"/>
      <w:marRight w:val="0"/>
      <w:marTop w:val="0"/>
      <w:marBottom w:val="0"/>
      <w:divBdr>
        <w:top w:val="none" w:sz="0" w:space="0" w:color="auto"/>
        <w:left w:val="none" w:sz="0" w:space="0" w:color="auto"/>
        <w:bottom w:val="none" w:sz="0" w:space="0" w:color="auto"/>
        <w:right w:val="none" w:sz="0" w:space="0" w:color="auto"/>
      </w:divBdr>
    </w:div>
    <w:div w:id="1228228477">
      <w:bodyDiv w:val="1"/>
      <w:marLeft w:val="0"/>
      <w:marRight w:val="0"/>
      <w:marTop w:val="0"/>
      <w:marBottom w:val="0"/>
      <w:divBdr>
        <w:top w:val="none" w:sz="0" w:space="0" w:color="auto"/>
        <w:left w:val="none" w:sz="0" w:space="0" w:color="auto"/>
        <w:bottom w:val="none" w:sz="0" w:space="0" w:color="auto"/>
        <w:right w:val="none" w:sz="0" w:space="0" w:color="auto"/>
      </w:divBdr>
    </w:div>
    <w:div w:id="1238783628">
      <w:bodyDiv w:val="1"/>
      <w:marLeft w:val="0"/>
      <w:marRight w:val="0"/>
      <w:marTop w:val="0"/>
      <w:marBottom w:val="0"/>
      <w:divBdr>
        <w:top w:val="none" w:sz="0" w:space="0" w:color="auto"/>
        <w:left w:val="none" w:sz="0" w:space="0" w:color="auto"/>
        <w:bottom w:val="none" w:sz="0" w:space="0" w:color="auto"/>
        <w:right w:val="none" w:sz="0" w:space="0" w:color="auto"/>
      </w:divBdr>
    </w:div>
    <w:div w:id="1275016586">
      <w:bodyDiv w:val="1"/>
      <w:marLeft w:val="0"/>
      <w:marRight w:val="0"/>
      <w:marTop w:val="0"/>
      <w:marBottom w:val="0"/>
      <w:divBdr>
        <w:top w:val="none" w:sz="0" w:space="0" w:color="auto"/>
        <w:left w:val="none" w:sz="0" w:space="0" w:color="auto"/>
        <w:bottom w:val="none" w:sz="0" w:space="0" w:color="auto"/>
        <w:right w:val="none" w:sz="0" w:space="0" w:color="auto"/>
      </w:divBdr>
      <w:divsChild>
        <w:div w:id="582373967">
          <w:marLeft w:val="0"/>
          <w:marRight w:val="0"/>
          <w:marTop w:val="0"/>
          <w:marBottom w:val="0"/>
          <w:divBdr>
            <w:top w:val="none" w:sz="0" w:space="0" w:color="auto"/>
            <w:left w:val="none" w:sz="0" w:space="0" w:color="auto"/>
            <w:bottom w:val="none" w:sz="0" w:space="0" w:color="auto"/>
            <w:right w:val="none" w:sz="0" w:space="0" w:color="auto"/>
          </w:divBdr>
        </w:div>
      </w:divsChild>
    </w:div>
    <w:div w:id="1317108540">
      <w:bodyDiv w:val="1"/>
      <w:marLeft w:val="0"/>
      <w:marRight w:val="0"/>
      <w:marTop w:val="0"/>
      <w:marBottom w:val="0"/>
      <w:divBdr>
        <w:top w:val="none" w:sz="0" w:space="0" w:color="auto"/>
        <w:left w:val="none" w:sz="0" w:space="0" w:color="auto"/>
        <w:bottom w:val="none" w:sz="0" w:space="0" w:color="auto"/>
        <w:right w:val="none" w:sz="0" w:space="0" w:color="auto"/>
      </w:divBdr>
      <w:divsChild>
        <w:div w:id="1315329579">
          <w:marLeft w:val="0"/>
          <w:marRight w:val="0"/>
          <w:marTop w:val="100"/>
          <w:marBottom w:val="100"/>
          <w:divBdr>
            <w:top w:val="none" w:sz="0" w:space="0" w:color="auto"/>
            <w:left w:val="none" w:sz="0" w:space="0" w:color="auto"/>
            <w:bottom w:val="none" w:sz="0" w:space="0" w:color="auto"/>
            <w:right w:val="none" w:sz="0" w:space="0" w:color="auto"/>
          </w:divBdr>
          <w:divsChild>
            <w:div w:id="1018853223">
              <w:marLeft w:val="0"/>
              <w:marRight w:val="1420"/>
              <w:marTop w:val="0"/>
              <w:marBottom w:val="0"/>
              <w:divBdr>
                <w:top w:val="none" w:sz="0" w:space="0" w:color="auto"/>
                <w:left w:val="single" w:sz="4" w:space="10" w:color="BEB7A9"/>
                <w:bottom w:val="none" w:sz="0" w:space="0" w:color="auto"/>
                <w:right w:val="single" w:sz="4" w:space="0" w:color="BEB7A9"/>
              </w:divBdr>
              <w:divsChild>
                <w:div w:id="1279873778">
                  <w:marLeft w:val="0"/>
                  <w:marRight w:val="0"/>
                  <w:marTop w:val="0"/>
                  <w:marBottom w:val="0"/>
                  <w:divBdr>
                    <w:top w:val="none" w:sz="0" w:space="0" w:color="auto"/>
                    <w:left w:val="none" w:sz="0" w:space="0" w:color="auto"/>
                    <w:bottom w:val="none" w:sz="0" w:space="0" w:color="auto"/>
                    <w:right w:val="none" w:sz="0" w:space="0" w:color="auto"/>
                  </w:divBdr>
                  <w:divsChild>
                    <w:div w:id="247083814">
                      <w:marLeft w:val="0"/>
                      <w:marRight w:val="0"/>
                      <w:marTop w:val="0"/>
                      <w:marBottom w:val="0"/>
                      <w:divBdr>
                        <w:top w:val="none" w:sz="0" w:space="0" w:color="auto"/>
                        <w:left w:val="none" w:sz="0" w:space="0" w:color="auto"/>
                        <w:bottom w:val="none" w:sz="0" w:space="0" w:color="auto"/>
                        <w:right w:val="none" w:sz="0" w:space="0" w:color="auto"/>
                      </w:divBdr>
                      <w:divsChild>
                        <w:div w:id="996953737">
                          <w:marLeft w:val="0"/>
                          <w:marRight w:val="0"/>
                          <w:marTop w:val="0"/>
                          <w:marBottom w:val="0"/>
                          <w:divBdr>
                            <w:top w:val="none" w:sz="0" w:space="0" w:color="auto"/>
                            <w:left w:val="none" w:sz="0" w:space="0" w:color="auto"/>
                            <w:bottom w:val="none" w:sz="0" w:space="0" w:color="auto"/>
                            <w:right w:val="none" w:sz="0" w:space="0" w:color="auto"/>
                          </w:divBdr>
                          <w:divsChild>
                            <w:div w:id="27265219">
                              <w:marLeft w:val="0"/>
                              <w:marRight w:val="-8315"/>
                              <w:marTop w:val="0"/>
                              <w:marBottom w:val="0"/>
                              <w:divBdr>
                                <w:top w:val="none" w:sz="0" w:space="0" w:color="auto"/>
                                <w:left w:val="none" w:sz="0" w:space="0" w:color="auto"/>
                                <w:bottom w:val="none" w:sz="0" w:space="0" w:color="auto"/>
                                <w:right w:val="none" w:sz="0" w:space="0" w:color="auto"/>
                              </w:divBdr>
                              <w:divsChild>
                                <w:div w:id="2081293279">
                                  <w:marLeft w:val="0"/>
                                  <w:marRight w:val="0"/>
                                  <w:marTop w:val="0"/>
                                  <w:marBottom w:val="0"/>
                                  <w:divBdr>
                                    <w:top w:val="none" w:sz="0" w:space="0" w:color="auto"/>
                                    <w:left w:val="none" w:sz="0" w:space="0" w:color="auto"/>
                                    <w:bottom w:val="none" w:sz="0" w:space="0" w:color="auto"/>
                                    <w:right w:val="none" w:sz="0" w:space="0" w:color="auto"/>
                                  </w:divBdr>
                                  <w:divsChild>
                                    <w:div w:id="140276550">
                                      <w:marLeft w:val="0"/>
                                      <w:marRight w:val="0"/>
                                      <w:marTop w:val="0"/>
                                      <w:marBottom w:val="0"/>
                                      <w:divBdr>
                                        <w:top w:val="none" w:sz="0" w:space="0" w:color="auto"/>
                                        <w:left w:val="none" w:sz="0" w:space="0" w:color="auto"/>
                                        <w:bottom w:val="none" w:sz="0" w:space="0" w:color="auto"/>
                                        <w:right w:val="none" w:sz="0" w:space="0" w:color="auto"/>
                                      </w:divBdr>
                                      <w:divsChild>
                                        <w:div w:id="495995666">
                                          <w:marLeft w:val="0"/>
                                          <w:marRight w:val="0"/>
                                          <w:marTop w:val="0"/>
                                          <w:marBottom w:val="0"/>
                                          <w:divBdr>
                                            <w:top w:val="none" w:sz="0" w:space="0" w:color="auto"/>
                                            <w:left w:val="none" w:sz="0" w:space="0" w:color="auto"/>
                                            <w:bottom w:val="none" w:sz="0" w:space="0" w:color="auto"/>
                                            <w:right w:val="none" w:sz="0" w:space="0" w:color="auto"/>
                                          </w:divBdr>
                                          <w:divsChild>
                                            <w:div w:id="1604530283">
                                              <w:marLeft w:val="0"/>
                                              <w:marRight w:val="0"/>
                                              <w:marTop w:val="0"/>
                                              <w:marBottom w:val="0"/>
                                              <w:divBdr>
                                                <w:top w:val="none" w:sz="0" w:space="0" w:color="auto"/>
                                                <w:left w:val="none" w:sz="0" w:space="0" w:color="auto"/>
                                                <w:bottom w:val="none" w:sz="0" w:space="0" w:color="auto"/>
                                                <w:right w:val="none" w:sz="0" w:space="0" w:color="auto"/>
                                              </w:divBdr>
                                              <w:divsChild>
                                                <w:div w:id="886990327">
                                                  <w:marLeft w:val="0"/>
                                                  <w:marRight w:val="0"/>
                                                  <w:marTop w:val="0"/>
                                                  <w:marBottom w:val="0"/>
                                                  <w:divBdr>
                                                    <w:top w:val="none" w:sz="0" w:space="0" w:color="auto"/>
                                                    <w:left w:val="none" w:sz="0" w:space="0" w:color="auto"/>
                                                    <w:bottom w:val="none" w:sz="0" w:space="0" w:color="auto"/>
                                                    <w:right w:val="none" w:sz="0" w:space="0" w:color="auto"/>
                                                  </w:divBdr>
                                                  <w:divsChild>
                                                    <w:div w:id="1633704831">
                                                      <w:marLeft w:val="0"/>
                                                      <w:marRight w:val="0"/>
                                                      <w:marTop w:val="0"/>
                                                      <w:marBottom w:val="0"/>
                                                      <w:divBdr>
                                                        <w:top w:val="none" w:sz="0" w:space="0" w:color="auto"/>
                                                        <w:left w:val="none" w:sz="0" w:space="0" w:color="auto"/>
                                                        <w:bottom w:val="none" w:sz="0" w:space="0" w:color="auto"/>
                                                        <w:right w:val="none" w:sz="0" w:space="0" w:color="auto"/>
                                                      </w:divBdr>
                                                      <w:divsChild>
                                                        <w:div w:id="360471534">
                                                          <w:marLeft w:val="0"/>
                                                          <w:marRight w:val="0"/>
                                                          <w:marTop w:val="0"/>
                                                          <w:marBottom w:val="0"/>
                                                          <w:divBdr>
                                                            <w:top w:val="none" w:sz="0" w:space="0" w:color="auto"/>
                                                            <w:left w:val="none" w:sz="0" w:space="0" w:color="auto"/>
                                                            <w:bottom w:val="none" w:sz="0" w:space="0" w:color="auto"/>
                                                            <w:right w:val="none" w:sz="0" w:space="0" w:color="auto"/>
                                                          </w:divBdr>
                                                        </w:div>
                                                        <w:div w:id="6612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4092">
      <w:bodyDiv w:val="1"/>
      <w:marLeft w:val="0"/>
      <w:marRight w:val="0"/>
      <w:marTop w:val="0"/>
      <w:marBottom w:val="0"/>
      <w:divBdr>
        <w:top w:val="none" w:sz="0" w:space="0" w:color="auto"/>
        <w:left w:val="none" w:sz="0" w:space="0" w:color="auto"/>
        <w:bottom w:val="none" w:sz="0" w:space="0" w:color="auto"/>
        <w:right w:val="none" w:sz="0" w:space="0" w:color="auto"/>
      </w:divBdr>
    </w:div>
    <w:div w:id="1399091740">
      <w:bodyDiv w:val="1"/>
      <w:marLeft w:val="0"/>
      <w:marRight w:val="0"/>
      <w:marTop w:val="0"/>
      <w:marBottom w:val="0"/>
      <w:divBdr>
        <w:top w:val="none" w:sz="0" w:space="0" w:color="auto"/>
        <w:left w:val="none" w:sz="0" w:space="0" w:color="auto"/>
        <w:bottom w:val="none" w:sz="0" w:space="0" w:color="auto"/>
        <w:right w:val="none" w:sz="0" w:space="0" w:color="auto"/>
      </w:divBdr>
    </w:div>
    <w:div w:id="1447190722">
      <w:bodyDiv w:val="1"/>
      <w:marLeft w:val="0"/>
      <w:marRight w:val="0"/>
      <w:marTop w:val="0"/>
      <w:marBottom w:val="0"/>
      <w:divBdr>
        <w:top w:val="none" w:sz="0" w:space="0" w:color="auto"/>
        <w:left w:val="none" w:sz="0" w:space="0" w:color="auto"/>
        <w:bottom w:val="none" w:sz="0" w:space="0" w:color="auto"/>
        <w:right w:val="none" w:sz="0" w:space="0" w:color="auto"/>
      </w:divBdr>
    </w:div>
    <w:div w:id="1526409265">
      <w:bodyDiv w:val="1"/>
      <w:marLeft w:val="0"/>
      <w:marRight w:val="0"/>
      <w:marTop w:val="0"/>
      <w:marBottom w:val="0"/>
      <w:divBdr>
        <w:top w:val="none" w:sz="0" w:space="0" w:color="auto"/>
        <w:left w:val="none" w:sz="0" w:space="0" w:color="auto"/>
        <w:bottom w:val="none" w:sz="0" w:space="0" w:color="auto"/>
        <w:right w:val="none" w:sz="0" w:space="0" w:color="auto"/>
      </w:divBdr>
    </w:div>
    <w:div w:id="1585148240">
      <w:bodyDiv w:val="1"/>
      <w:marLeft w:val="0"/>
      <w:marRight w:val="0"/>
      <w:marTop w:val="0"/>
      <w:marBottom w:val="0"/>
      <w:divBdr>
        <w:top w:val="none" w:sz="0" w:space="0" w:color="auto"/>
        <w:left w:val="none" w:sz="0" w:space="0" w:color="auto"/>
        <w:bottom w:val="none" w:sz="0" w:space="0" w:color="auto"/>
        <w:right w:val="none" w:sz="0" w:space="0" w:color="auto"/>
      </w:divBdr>
    </w:div>
    <w:div w:id="1594627316">
      <w:bodyDiv w:val="1"/>
      <w:marLeft w:val="0"/>
      <w:marRight w:val="0"/>
      <w:marTop w:val="0"/>
      <w:marBottom w:val="0"/>
      <w:divBdr>
        <w:top w:val="none" w:sz="0" w:space="0" w:color="auto"/>
        <w:left w:val="none" w:sz="0" w:space="0" w:color="auto"/>
        <w:bottom w:val="none" w:sz="0" w:space="0" w:color="auto"/>
        <w:right w:val="none" w:sz="0" w:space="0" w:color="auto"/>
      </w:divBdr>
      <w:divsChild>
        <w:div w:id="964198091">
          <w:marLeft w:val="0"/>
          <w:marRight w:val="0"/>
          <w:marTop w:val="0"/>
          <w:marBottom w:val="0"/>
          <w:divBdr>
            <w:top w:val="none" w:sz="0" w:space="0" w:color="auto"/>
            <w:left w:val="none" w:sz="0" w:space="0" w:color="auto"/>
            <w:bottom w:val="none" w:sz="0" w:space="0" w:color="auto"/>
            <w:right w:val="none" w:sz="0" w:space="0" w:color="auto"/>
          </w:divBdr>
          <w:divsChild>
            <w:div w:id="1069185437">
              <w:marLeft w:val="0"/>
              <w:marRight w:val="0"/>
              <w:marTop w:val="0"/>
              <w:marBottom w:val="0"/>
              <w:divBdr>
                <w:top w:val="none" w:sz="0" w:space="0" w:color="auto"/>
                <w:left w:val="none" w:sz="0" w:space="0" w:color="auto"/>
                <w:bottom w:val="none" w:sz="0" w:space="0" w:color="auto"/>
                <w:right w:val="none" w:sz="0" w:space="0" w:color="auto"/>
              </w:divBdr>
              <w:divsChild>
                <w:div w:id="67192074">
                  <w:marLeft w:val="0"/>
                  <w:marRight w:val="0"/>
                  <w:marTop w:val="0"/>
                  <w:marBottom w:val="0"/>
                  <w:divBdr>
                    <w:top w:val="none" w:sz="0" w:space="0" w:color="auto"/>
                    <w:left w:val="none" w:sz="0" w:space="0" w:color="auto"/>
                    <w:bottom w:val="none" w:sz="0" w:space="0" w:color="auto"/>
                    <w:right w:val="none" w:sz="0" w:space="0" w:color="auto"/>
                  </w:divBdr>
                  <w:divsChild>
                    <w:div w:id="2036038498">
                      <w:marLeft w:val="90"/>
                      <w:marRight w:val="0"/>
                      <w:marTop w:val="0"/>
                      <w:marBottom w:val="0"/>
                      <w:divBdr>
                        <w:top w:val="none" w:sz="0" w:space="0" w:color="auto"/>
                        <w:left w:val="none" w:sz="0" w:space="0" w:color="auto"/>
                        <w:bottom w:val="none" w:sz="0" w:space="0" w:color="auto"/>
                        <w:right w:val="none" w:sz="0" w:space="0" w:color="auto"/>
                      </w:divBdr>
                      <w:divsChild>
                        <w:div w:id="136841587">
                          <w:marLeft w:val="0"/>
                          <w:marRight w:val="0"/>
                          <w:marTop w:val="0"/>
                          <w:marBottom w:val="0"/>
                          <w:divBdr>
                            <w:top w:val="none" w:sz="0" w:space="0" w:color="auto"/>
                            <w:left w:val="none" w:sz="0" w:space="0" w:color="auto"/>
                            <w:bottom w:val="none" w:sz="0" w:space="0" w:color="auto"/>
                            <w:right w:val="none" w:sz="0" w:space="0" w:color="auto"/>
                          </w:divBdr>
                          <w:divsChild>
                            <w:div w:id="654535157">
                              <w:marLeft w:val="0"/>
                              <w:marRight w:val="0"/>
                              <w:marTop w:val="0"/>
                              <w:marBottom w:val="0"/>
                              <w:divBdr>
                                <w:top w:val="none" w:sz="0" w:space="0" w:color="auto"/>
                                <w:left w:val="none" w:sz="0" w:space="0" w:color="auto"/>
                                <w:bottom w:val="none" w:sz="0" w:space="0" w:color="auto"/>
                                <w:right w:val="none" w:sz="0" w:space="0" w:color="auto"/>
                              </w:divBdr>
                              <w:divsChild>
                                <w:div w:id="2052076485">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79327">
      <w:bodyDiv w:val="1"/>
      <w:marLeft w:val="0"/>
      <w:marRight w:val="0"/>
      <w:marTop w:val="0"/>
      <w:marBottom w:val="0"/>
      <w:divBdr>
        <w:top w:val="none" w:sz="0" w:space="0" w:color="auto"/>
        <w:left w:val="none" w:sz="0" w:space="0" w:color="auto"/>
        <w:bottom w:val="none" w:sz="0" w:space="0" w:color="auto"/>
        <w:right w:val="none" w:sz="0" w:space="0" w:color="auto"/>
      </w:divBdr>
    </w:div>
    <w:div w:id="1635790789">
      <w:bodyDiv w:val="1"/>
      <w:marLeft w:val="0"/>
      <w:marRight w:val="0"/>
      <w:marTop w:val="0"/>
      <w:marBottom w:val="0"/>
      <w:divBdr>
        <w:top w:val="none" w:sz="0" w:space="0" w:color="auto"/>
        <w:left w:val="none" w:sz="0" w:space="0" w:color="auto"/>
        <w:bottom w:val="none" w:sz="0" w:space="0" w:color="auto"/>
        <w:right w:val="none" w:sz="0" w:space="0" w:color="auto"/>
      </w:divBdr>
    </w:div>
    <w:div w:id="1743210937">
      <w:bodyDiv w:val="1"/>
      <w:marLeft w:val="0"/>
      <w:marRight w:val="0"/>
      <w:marTop w:val="0"/>
      <w:marBottom w:val="0"/>
      <w:divBdr>
        <w:top w:val="none" w:sz="0" w:space="0" w:color="auto"/>
        <w:left w:val="none" w:sz="0" w:space="0" w:color="auto"/>
        <w:bottom w:val="none" w:sz="0" w:space="0" w:color="auto"/>
        <w:right w:val="none" w:sz="0" w:space="0" w:color="auto"/>
      </w:divBdr>
      <w:divsChild>
        <w:div w:id="1659722070">
          <w:marLeft w:val="0"/>
          <w:marRight w:val="0"/>
          <w:marTop w:val="0"/>
          <w:marBottom w:val="0"/>
          <w:divBdr>
            <w:top w:val="none" w:sz="0" w:space="0" w:color="auto"/>
            <w:left w:val="none" w:sz="0" w:space="0" w:color="auto"/>
            <w:bottom w:val="none" w:sz="0" w:space="0" w:color="auto"/>
            <w:right w:val="none" w:sz="0" w:space="0" w:color="auto"/>
          </w:divBdr>
          <w:divsChild>
            <w:div w:id="1267467504">
              <w:marLeft w:val="0"/>
              <w:marRight w:val="0"/>
              <w:marTop w:val="0"/>
              <w:marBottom w:val="0"/>
              <w:divBdr>
                <w:top w:val="none" w:sz="0" w:space="0" w:color="auto"/>
                <w:left w:val="none" w:sz="0" w:space="0" w:color="auto"/>
                <w:bottom w:val="none" w:sz="0" w:space="0" w:color="auto"/>
                <w:right w:val="none" w:sz="0" w:space="0" w:color="auto"/>
              </w:divBdr>
              <w:divsChild>
                <w:div w:id="1042364045">
                  <w:marLeft w:val="0"/>
                  <w:marRight w:val="0"/>
                  <w:marTop w:val="0"/>
                  <w:marBottom w:val="0"/>
                  <w:divBdr>
                    <w:top w:val="none" w:sz="0" w:space="0" w:color="auto"/>
                    <w:left w:val="none" w:sz="0" w:space="0" w:color="auto"/>
                    <w:bottom w:val="none" w:sz="0" w:space="0" w:color="auto"/>
                    <w:right w:val="none" w:sz="0" w:space="0" w:color="auto"/>
                  </w:divBdr>
                  <w:divsChild>
                    <w:div w:id="1176992428">
                      <w:marLeft w:val="0"/>
                      <w:marRight w:val="0"/>
                      <w:marTop w:val="0"/>
                      <w:marBottom w:val="0"/>
                      <w:divBdr>
                        <w:top w:val="none" w:sz="0" w:space="0" w:color="auto"/>
                        <w:left w:val="none" w:sz="0" w:space="0" w:color="auto"/>
                        <w:bottom w:val="none" w:sz="0" w:space="0" w:color="auto"/>
                        <w:right w:val="none" w:sz="0" w:space="0" w:color="auto"/>
                      </w:divBdr>
                      <w:divsChild>
                        <w:div w:id="2005472356">
                          <w:marLeft w:val="0"/>
                          <w:marRight w:val="0"/>
                          <w:marTop w:val="0"/>
                          <w:marBottom w:val="0"/>
                          <w:divBdr>
                            <w:top w:val="none" w:sz="0" w:space="0" w:color="auto"/>
                            <w:left w:val="none" w:sz="0" w:space="0" w:color="auto"/>
                            <w:bottom w:val="none" w:sz="0" w:space="0" w:color="auto"/>
                            <w:right w:val="none" w:sz="0" w:space="0" w:color="auto"/>
                          </w:divBdr>
                          <w:divsChild>
                            <w:div w:id="161630293">
                              <w:marLeft w:val="0"/>
                              <w:marRight w:val="0"/>
                              <w:marTop w:val="0"/>
                              <w:marBottom w:val="101"/>
                              <w:divBdr>
                                <w:top w:val="none" w:sz="0" w:space="0" w:color="auto"/>
                                <w:left w:val="none" w:sz="0" w:space="0" w:color="auto"/>
                                <w:bottom w:val="none" w:sz="0" w:space="0" w:color="auto"/>
                                <w:right w:val="none" w:sz="0" w:space="0" w:color="auto"/>
                              </w:divBdr>
                              <w:divsChild>
                                <w:div w:id="8327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899102">
      <w:bodyDiv w:val="1"/>
      <w:marLeft w:val="0"/>
      <w:marRight w:val="0"/>
      <w:marTop w:val="0"/>
      <w:marBottom w:val="0"/>
      <w:divBdr>
        <w:top w:val="none" w:sz="0" w:space="0" w:color="auto"/>
        <w:left w:val="none" w:sz="0" w:space="0" w:color="auto"/>
        <w:bottom w:val="none" w:sz="0" w:space="0" w:color="auto"/>
        <w:right w:val="none" w:sz="0" w:space="0" w:color="auto"/>
      </w:divBdr>
      <w:divsChild>
        <w:div w:id="1876186578">
          <w:marLeft w:val="0"/>
          <w:marRight w:val="0"/>
          <w:marTop w:val="0"/>
          <w:marBottom w:val="0"/>
          <w:divBdr>
            <w:top w:val="none" w:sz="0" w:space="0" w:color="auto"/>
            <w:left w:val="none" w:sz="0" w:space="0" w:color="auto"/>
            <w:bottom w:val="none" w:sz="0" w:space="0" w:color="auto"/>
            <w:right w:val="none" w:sz="0" w:space="0" w:color="auto"/>
          </w:divBdr>
        </w:div>
      </w:divsChild>
    </w:div>
    <w:div w:id="1836334689">
      <w:bodyDiv w:val="1"/>
      <w:marLeft w:val="0"/>
      <w:marRight w:val="0"/>
      <w:marTop w:val="0"/>
      <w:marBottom w:val="0"/>
      <w:divBdr>
        <w:top w:val="none" w:sz="0" w:space="0" w:color="auto"/>
        <w:left w:val="none" w:sz="0" w:space="0" w:color="auto"/>
        <w:bottom w:val="none" w:sz="0" w:space="0" w:color="auto"/>
        <w:right w:val="none" w:sz="0" w:space="0" w:color="auto"/>
      </w:divBdr>
    </w:div>
    <w:div w:id="1868250338">
      <w:bodyDiv w:val="1"/>
      <w:marLeft w:val="0"/>
      <w:marRight w:val="0"/>
      <w:marTop w:val="0"/>
      <w:marBottom w:val="0"/>
      <w:divBdr>
        <w:top w:val="none" w:sz="0" w:space="0" w:color="auto"/>
        <w:left w:val="none" w:sz="0" w:space="0" w:color="auto"/>
        <w:bottom w:val="none" w:sz="0" w:space="0" w:color="auto"/>
        <w:right w:val="none" w:sz="0" w:space="0" w:color="auto"/>
      </w:divBdr>
      <w:divsChild>
        <w:div w:id="1090125883">
          <w:marLeft w:val="0"/>
          <w:marRight w:val="0"/>
          <w:marTop w:val="0"/>
          <w:marBottom w:val="0"/>
          <w:divBdr>
            <w:top w:val="none" w:sz="0" w:space="0" w:color="auto"/>
            <w:left w:val="none" w:sz="0" w:space="0" w:color="auto"/>
            <w:bottom w:val="none" w:sz="0" w:space="0" w:color="auto"/>
            <w:right w:val="none" w:sz="0" w:space="0" w:color="auto"/>
          </w:divBdr>
          <w:divsChild>
            <w:div w:id="1362902259">
              <w:marLeft w:val="0"/>
              <w:marRight w:val="0"/>
              <w:marTop w:val="0"/>
              <w:marBottom w:val="0"/>
              <w:divBdr>
                <w:top w:val="none" w:sz="0" w:space="0" w:color="auto"/>
                <w:left w:val="none" w:sz="0" w:space="0" w:color="auto"/>
                <w:bottom w:val="none" w:sz="0" w:space="0" w:color="auto"/>
                <w:right w:val="none" w:sz="0" w:space="0" w:color="auto"/>
              </w:divBdr>
              <w:divsChild>
                <w:div w:id="1686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6656">
      <w:bodyDiv w:val="1"/>
      <w:marLeft w:val="0"/>
      <w:marRight w:val="0"/>
      <w:marTop w:val="0"/>
      <w:marBottom w:val="0"/>
      <w:divBdr>
        <w:top w:val="none" w:sz="0" w:space="0" w:color="auto"/>
        <w:left w:val="none" w:sz="0" w:space="0" w:color="auto"/>
        <w:bottom w:val="none" w:sz="0" w:space="0" w:color="auto"/>
        <w:right w:val="none" w:sz="0" w:space="0" w:color="auto"/>
      </w:divBdr>
      <w:divsChild>
        <w:div w:id="923035144">
          <w:marLeft w:val="0"/>
          <w:marRight w:val="0"/>
          <w:marTop w:val="0"/>
          <w:marBottom w:val="0"/>
          <w:divBdr>
            <w:top w:val="none" w:sz="0" w:space="0" w:color="auto"/>
            <w:left w:val="none" w:sz="0" w:space="0" w:color="auto"/>
            <w:bottom w:val="none" w:sz="0" w:space="0" w:color="auto"/>
            <w:right w:val="none" w:sz="0" w:space="0" w:color="auto"/>
          </w:divBdr>
        </w:div>
      </w:divsChild>
    </w:div>
    <w:div w:id="1987082249">
      <w:bodyDiv w:val="1"/>
      <w:marLeft w:val="0"/>
      <w:marRight w:val="0"/>
      <w:marTop w:val="0"/>
      <w:marBottom w:val="0"/>
      <w:divBdr>
        <w:top w:val="none" w:sz="0" w:space="0" w:color="auto"/>
        <w:left w:val="none" w:sz="0" w:space="0" w:color="auto"/>
        <w:bottom w:val="none" w:sz="0" w:space="0" w:color="auto"/>
        <w:right w:val="none" w:sz="0" w:space="0" w:color="auto"/>
      </w:divBdr>
      <w:divsChild>
        <w:div w:id="772626301">
          <w:marLeft w:val="0"/>
          <w:marRight w:val="0"/>
          <w:marTop w:val="0"/>
          <w:marBottom w:val="0"/>
          <w:divBdr>
            <w:top w:val="none" w:sz="0" w:space="0" w:color="auto"/>
            <w:left w:val="none" w:sz="0" w:space="0" w:color="auto"/>
            <w:bottom w:val="none" w:sz="0" w:space="0" w:color="auto"/>
            <w:right w:val="none" w:sz="0" w:space="0" w:color="auto"/>
          </w:divBdr>
        </w:div>
      </w:divsChild>
    </w:div>
    <w:div w:id="20652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ysorp.org/media/647775/information-sheet-3-the-companies-misc-reporting-regs-2018.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DEA05-19B6-4015-93A6-D2CB0373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2765</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18492</CharactersWithSpaces>
  <SharedDoc>false</SharedDoc>
  <HLinks>
    <vt:vector size="12" baseType="variant">
      <vt:variant>
        <vt:i4>2162773</vt:i4>
      </vt:variant>
      <vt:variant>
        <vt:i4>3</vt:i4>
      </vt:variant>
      <vt:variant>
        <vt:i4>0</vt:i4>
      </vt:variant>
      <vt:variant>
        <vt:i4>5</vt:i4>
      </vt:variant>
      <vt:variant>
        <vt:lpwstr>mailto:john.maddocks@cipfa.org</vt:lpwstr>
      </vt:variant>
      <vt:variant>
        <vt:lpwstr/>
      </vt:variant>
      <vt:variant>
        <vt:i4>3014755</vt:i4>
      </vt:variant>
      <vt:variant>
        <vt:i4>0</vt:i4>
      </vt:variant>
      <vt:variant>
        <vt:i4>0</vt:i4>
      </vt:variant>
      <vt:variant>
        <vt:i4>5</vt:i4>
      </vt:variant>
      <vt:variant>
        <vt:lpwstr>http://www.charitysorp.org/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creator>Easton Bilsborough</dc:creator>
  <cp:lastModifiedBy>Joanne Francis</cp:lastModifiedBy>
  <cp:revision>2</cp:revision>
  <cp:lastPrinted>2020-05-04T07:07:00Z</cp:lastPrinted>
  <dcterms:created xsi:type="dcterms:W3CDTF">2020-07-21T13:01:00Z</dcterms:created>
  <dcterms:modified xsi:type="dcterms:W3CDTF">2020-07-21T13:01:00Z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